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196" w:rsidRDefault="00F95FCC" w:rsidP="00184720">
      <w:pPr>
        <w:pStyle w:val="ab"/>
        <w:spacing w:before="0" w:after="0"/>
        <w:ind w:firstLineChars="0" w:firstLine="0"/>
      </w:pPr>
      <w:r>
        <w:rPr>
          <w:rFonts w:hint="eastAsia"/>
        </w:rPr>
        <w:t>Promega Technology</w:t>
      </w:r>
      <w:r>
        <w:rPr>
          <w:rFonts w:hint="eastAsia"/>
        </w:rPr>
        <w:t>——</w:t>
      </w:r>
    </w:p>
    <w:p w:rsidR="00F95FCC" w:rsidRDefault="00F95FCC" w:rsidP="00184720">
      <w:pPr>
        <w:pStyle w:val="aa"/>
        <w:spacing w:before="0"/>
        <w:ind w:firstLine="883"/>
      </w:pPr>
      <w:r>
        <w:rPr>
          <w:rFonts w:hint="eastAsia"/>
        </w:rPr>
        <w:t>miRNA/siRNA</w:t>
      </w:r>
      <w:r w:rsidR="003916A2" w:rsidRPr="003916A2">
        <w:rPr>
          <w:rFonts w:hint="eastAsia"/>
        </w:rPr>
        <w:t>靶标</w:t>
      </w:r>
      <w:r>
        <w:rPr>
          <w:rFonts w:hint="eastAsia"/>
        </w:rPr>
        <w:t>研究工具</w:t>
      </w:r>
    </w:p>
    <w:p w:rsidR="00F95FCC" w:rsidRDefault="004933F5" w:rsidP="00D805BE">
      <w:pPr>
        <w:ind w:firstLineChars="0" w:firstLine="0"/>
      </w:pPr>
      <w:r>
        <w:rPr>
          <w:noProof/>
        </w:rPr>
        <w:drawing>
          <wp:inline distT="0" distB="0" distL="0" distR="0" wp14:anchorId="7B5B2E5A">
            <wp:extent cx="5424044" cy="3276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73" cy="327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4E6" w:rsidRPr="00C924E6" w:rsidRDefault="00C924E6" w:rsidP="00D805BE">
      <w:pPr>
        <w:ind w:firstLineChars="0" w:firstLine="0"/>
      </w:pPr>
      <w:r w:rsidRPr="00B52E67">
        <w:rPr>
          <w:rFonts w:hint="eastAsia"/>
          <w:highlight w:val="yellow"/>
        </w:rPr>
        <w:t>萤光素酶报告基因：</w:t>
      </w:r>
    </w:p>
    <w:p w:rsidR="003D1F35" w:rsidRPr="00EA328C" w:rsidRDefault="003D1F35" w:rsidP="003D1F35">
      <w:pPr>
        <w:numPr>
          <w:ilvl w:val="0"/>
          <w:numId w:val="5"/>
        </w:numPr>
        <w:spacing w:line="276" w:lineRule="auto"/>
        <w:ind w:firstLineChars="0"/>
        <w:rPr>
          <w:bCs/>
          <w:sz w:val="22"/>
        </w:rPr>
      </w:pPr>
      <w:r w:rsidRPr="00EA328C">
        <w:rPr>
          <w:rFonts w:hint="eastAsia"/>
          <w:b/>
          <w:bCs/>
          <w:sz w:val="22"/>
        </w:rPr>
        <w:t>检测蛋白：</w:t>
      </w:r>
      <w:r w:rsidRPr="00EA328C">
        <w:rPr>
          <w:rFonts w:hint="eastAsia"/>
          <w:bCs/>
          <w:sz w:val="22"/>
        </w:rPr>
        <w:t>miRNA</w:t>
      </w:r>
      <w:r w:rsidRPr="00EA328C">
        <w:rPr>
          <w:rFonts w:hint="eastAsia"/>
          <w:bCs/>
          <w:sz w:val="22"/>
        </w:rPr>
        <w:t>与靶标</w:t>
      </w:r>
      <w:r w:rsidRPr="00EA328C">
        <w:rPr>
          <w:bCs/>
          <w:sz w:val="22"/>
        </w:rPr>
        <w:t>mRNA</w:t>
      </w:r>
      <w:r w:rsidRPr="00EA328C">
        <w:rPr>
          <w:rFonts w:hint="eastAsia"/>
          <w:bCs/>
          <w:sz w:val="22"/>
        </w:rPr>
        <w:t>结合后，</w:t>
      </w:r>
      <w:r w:rsidRPr="00EA328C">
        <w:rPr>
          <w:rFonts w:hint="eastAsia"/>
          <w:bCs/>
          <w:sz w:val="22"/>
        </w:rPr>
        <w:t>mRNA</w:t>
      </w:r>
      <w:r w:rsidRPr="00EA328C">
        <w:rPr>
          <w:rFonts w:hint="eastAsia"/>
          <w:bCs/>
          <w:sz w:val="22"/>
        </w:rPr>
        <w:t>可能不被降解，但蛋白</w:t>
      </w:r>
      <w:proofErr w:type="gramStart"/>
      <w:r w:rsidRPr="00EA328C">
        <w:rPr>
          <w:rFonts w:hint="eastAsia"/>
          <w:bCs/>
          <w:sz w:val="22"/>
        </w:rPr>
        <w:t>翻译受</w:t>
      </w:r>
      <w:proofErr w:type="gramEnd"/>
      <w:r w:rsidRPr="00EA328C">
        <w:rPr>
          <w:rFonts w:hint="eastAsia"/>
          <w:bCs/>
          <w:sz w:val="22"/>
        </w:rPr>
        <w:t>抑制，用</w:t>
      </w:r>
      <w:r w:rsidRPr="00EA328C">
        <w:rPr>
          <w:rFonts w:hint="eastAsia"/>
          <w:bCs/>
          <w:sz w:val="22"/>
        </w:rPr>
        <w:t>PCR</w:t>
      </w:r>
      <w:r w:rsidRPr="00EA328C">
        <w:rPr>
          <w:rFonts w:hint="eastAsia"/>
          <w:bCs/>
          <w:sz w:val="22"/>
        </w:rPr>
        <w:t>法检测</w:t>
      </w:r>
      <w:r w:rsidR="00184720" w:rsidRPr="00EA328C">
        <w:rPr>
          <w:rFonts w:hint="eastAsia"/>
          <w:bCs/>
          <w:sz w:val="22"/>
        </w:rPr>
        <w:t>mRNA</w:t>
      </w:r>
      <w:r w:rsidRPr="00EA328C">
        <w:rPr>
          <w:rFonts w:hint="eastAsia"/>
          <w:bCs/>
          <w:sz w:val="22"/>
        </w:rPr>
        <w:t>无变化，但萤光素酶报告基因检测萤光素酶蛋白的产生，更加准确反映</w:t>
      </w:r>
      <w:r w:rsidRPr="00EA328C">
        <w:rPr>
          <w:rFonts w:hint="eastAsia"/>
          <w:bCs/>
          <w:sz w:val="22"/>
        </w:rPr>
        <w:t>miRNA</w:t>
      </w:r>
      <w:r w:rsidRPr="00EA328C">
        <w:rPr>
          <w:rFonts w:hint="eastAsia"/>
          <w:bCs/>
          <w:sz w:val="22"/>
        </w:rPr>
        <w:t>作用机制</w:t>
      </w:r>
    </w:p>
    <w:p w:rsidR="005C790D" w:rsidRPr="00EA328C" w:rsidRDefault="00D0064A" w:rsidP="00ED7D10">
      <w:pPr>
        <w:numPr>
          <w:ilvl w:val="0"/>
          <w:numId w:val="5"/>
        </w:numPr>
        <w:spacing w:line="276" w:lineRule="auto"/>
        <w:ind w:firstLineChars="0"/>
        <w:rPr>
          <w:sz w:val="24"/>
        </w:rPr>
      </w:pPr>
      <w:r w:rsidRPr="00EA328C">
        <w:rPr>
          <w:rFonts w:hint="eastAsia"/>
          <w:b/>
          <w:bCs/>
          <w:sz w:val="22"/>
        </w:rPr>
        <w:t>细胞无内源性萤光素酶活性：</w:t>
      </w:r>
      <w:r w:rsidRPr="00EA328C">
        <w:rPr>
          <w:rFonts w:hint="eastAsia"/>
          <w:sz w:val="22"/>
        </w:rPr>
        <w:t>无细胞内源性酶活性干扰</w:t>
      </w:r>
    </w:p>
    <w:p w:rsidR="005C790D" w:rsidRPr="00EA328C" w:rsidRDefault="00D0064A" w:rsidP="00ED7D10">
      <w:pPr>
        <w:numPr>
          <w:ilvl w:val="0"/>
          <w:numId w:val="5"/>
        </w:numPr>
        <w:spacing w:line="276" w:lineRule="auto"/>
        <w:ind w:firstLineChars="0"/>
        <w:rPr>
          <w:sz w:val="22"/>
        </w:rPr>
      </w:pPr>
      <w:r w:rsidRPr="00EA328C">
        <w:rPr>
          <w:rFonts w:hint="eastAsia"/>
          <w:b/>
          <w:bCs/>
          <w:sz w:val="22"/>
        </w:rPr>
        <w:t>灵敏</w:t>
      </w:r>
      <w:r w:rsidR="00D46AB9" w:rsidRPr="00EA328C">
        <w:rPr>
          <w:rFonts w:hint="eastAsia"/>
          <w:b/>
          <w:bCs/>
          <w:sz w:val="22"/>
        </w:rPr>
        <w:t>：</w:t>
      </w:r>
      <w:r w:rsidR="00D46AB9" w:rsidRPr="00EA328C">
        <w:rPr>
          <w:rFonts w:hint="eastAsia"/>
          <w:bCs/>
          <w:sz w:val="22"/>
        </w:rPr>
        <w:t>最低检测至</w:t>
      </w:r>
      <w:r w:rsidRPr="00EA328C">
        <w:rPr>
          <w:sz w:val="22"/>
        </w:rPr>
        <w:t>10</w:t>
      </w:r>
      <w:r w:rsidRPr="00EA328C">
        <w:rPr>
          <w:sz w:val="22"/>
          <w:vertAlign w:val="superscript"/>
        </w:rPr>
        <w:t>-20</w:t>
      </w:r>
      <w:r w:rsidRPr="00EA328C">
        <w:rPr>
          <w:sz w:val="22"/>
        </w:rPr>
        <w:t xml:space="preserve"> mole or ~6000 </w:t>
      </w:r>
      <w:proofErr w:type="gramStart"/>
      <w:r w:rsidRPr="00EA328C">
        <w:rPr>
          <w:rFonts w:hint="eastAsia"/>
          <w:sz w:val="22"/>
        </w:rPr>
        <w:t>个</w:t>
      </w:r>
      <w:proofErr w:type="gramEnd"/>
      <w:r w:rsidRPr="00EA328C">
        <w:rPr>
          <w:rFonts w:hint="eastAsia"/>
          <w:sz w:val="22"/>
        </w:rPr>
        <w:t>萤光素酶分子</w:t>
      </w:r>
    </w:p>
    <w:p w:rsidR="005C790D" w:rsidRPr="00EA328C" w:rsidRDefault="00D0064A" w:rsidP="00ED7D10">
      <w:pPr>
        <w:numPr>
          <w:ilvl w:val="0"/>
          <w:numId w:val="5"/>
        </w:numPr>
        <w:spacing w:line="276" w:lineRule="auto"/>
        <w:ind w:firstLineChars="0"/>
        <w:rPr>
          <w:sz w:val="22"/>
        </w:rPr>
      </w:pPr>
      <w:r w:rsidRPr="00EA328C">
        <w:rPr>
          <w:rFonts w:hint="eastAsia"/>
          <w:b/>
          <w:bCs/>
          <w:sz w:val="22"/>
        </w:rPr>
        <w:t>线性范围宽</w:t>
      </w:r>
      <w:r w:rsidR="003D1F35" w:rsidRPr="00EA328C">
        <w:rPr>
          <w:rFonts w:hint="eastAsia"/>
          <w:b/>
          <w:bCs/>
          <w:sz w:val="22"/>
        </w:rPr>
        <w:t>：</w:t>
      </w:r>
      <w:r w:rsidRPr="00EA328C">
        <w:rPr>
          <w:sz w:val="22"/>
        </w:rPr>
        <w:t>10</w:t>
      </w:r>
      <w:r w:rsidRPr="00EA328C">
        <w:rPr>
          <w:sz w:val="22"/>
          <w:vertAlign w:val="superscript"/>
        </w:rPr>
        <w:t>8</w:t>
      </w:r>
      <w:r w:rsidRPr="00EA328C">
        <w:rPr>
          <w:sz w:val="22"/>
        </w:rPr>
        <w:t xml:space="preserve"> </w:t>
      </w:r>
      <w:proofErr w:type="gramStart"/>
      <w:r w:rsidRPr="00EA328C">
        <w:rPr>
          <w:rFonts w:hint="eastAsia"/>
          <w:sz w:val="22"/>
        </w:rPr>
        <w:t>个</w:t>
      </w:r>
      <w:proofErr w:type="gramEnd"/>
      <w:r w:rsidRPr="00EA328C">
        <w:rPr>
          <w:rFonts w:hint="eastAsia"/>
          <w:sz w:val="22"/>
        </w:rPr>
        <w:t>数量级</w:t>
      </w:r>
    </w:p>
    <w:p w:rsidR="00031B13" w:rsidRPr="00EA328C" w:rsidRDefault="00D0064A" w:rsidP="00ED7D10">
      <w:pPr>
        <w:numPr>
          <w:ilvl w:val="0"/>
          <w:numId w:val="5"/>
        </w:numPr>
        <w:spacing w:line="276" w:lineRule="auto"/>
        <w:ind w:firstLineChars="0"/>
        <w:rPr>
          <w:bCs/>
          <w:sz w:val="22"/>
        </w:rPr>
      </w:pPr>
      <w:r w:rsidRPr="00EA328C">
        <w:rPr>
          <w:rFonts w:hint="eastAsia"/>
          <w:b/>
          <w:bCs/>
          <w:sz w:val="22"/>
        </w:rPr>
        <w:t>操作简便</w:t>
      </w:r>
      <w:r w:rsidR="003D1F35" w:rsidRPr="00EA328C">
        <w:rPr>
          <w:rFonts w:hint="eastAsia"/>
          <w:b/>
          <w:bCs/>
          <w:sz w:val="22"/>
        </w:rPr>
        <w:t>：</w:t>
      </w:r>
      <w:r w:rsidRPr="00EA328C">
        <w:rPr>
          <w:sz w:val="22"/>
        </w:rPr>
        <w:t>5</w:t>
      </w:r>
      <w:r w:rsidRPr="00EA328C">
        <w:rPr>
          <w:rFonts w:hint="eastAsia"/>
          <w:sz w:val="22"/>
        </w:rPr>
        <w:t>分钟完成细胞裂解、样品制备和检测，同一样品中可检测萤火虫和海肾萤光素酶</w:t>
      </w:r>
      <w:proofErr w:type="gramStart"/>
      <w:r w:rsidRPr="00EA328C">
        <w:rPr>
          <w:rFonts w:hint="eastAsia"/>
          <w:sz w:val="22"/>
        </w:rPr>
        <w:t>双报告</w:t>
      </w:r>
      <w:proofErr w:type="gramEnd"/>
      <w:r w:rsidRPr="00EA328C">
        <w:rPr>
          <w:rFonts w:hint="eastAsia"/>
          <w:sz w:val="22"/>
        </w:rPr>
        <w:t>基因</w:t>
      </w:r>
    </w:p>
    <w:p w:rsidR="00ED7D10" w:rsidRPr="00EA328C" w:rsidRDefault="00031B13" w:rsidP="00ED7D10">
      <w:pPr>
        <w:numPr>
          <w:ilvl w:val="0"/>
          <w:numId w:val="5"/>
        </w:numPr>
        <w:spacing w:line="276" w:lineRule="auto"/>
        <w:ind w:firstLineChars="0"/>
        <w:rPr>
          <w:bCs/>
          <w:sz w:val="18"/>
        </w:rPr>
      </w:pPr>
      <w:r w:rsidRPr="00EA328C">
        <w:rPr>
          <w:rFonts w:hint="eastAsia"/>
          <w:b/>
          <w:bCs/>
          <w:sz w:val="22"/>
        </w:rPr>
        <w:t>结果量化：</w:t>
      </w:r>
      <w:r w:rsidRPr="00EA328C">
        <w:rPr>
          <w:rFonts w:hint="eastAsia"/>
          <w:bCs/>
          <w:sz w:val="22"/>
        </w:rPr>
        <w:t>化学发光法检测，发光仪读数直接得到量化结果</w:t>
      </w:r>
    </w:p>
    <w:p w:rsidR="00ED7D10" w:rsidRPr="00ED7D10" w:rsidRDefault="00ED7D10" w:rsidP="003B3B71">
      <w:pPr>
        <w:spacing w:beforeLines="50" w:before="156" w:line="276" w:lineRule="auto"/>
        <w:ind w:firstLineChars="0" w:firstLine="0"/>
        <w:rPr>
          <w:bCs/>
          <w:sz w:val="24"/>
        </w:rPr>
      </w:pPr>
      <w:proofErr w:type="gramStart"/>
      <w:r w:rsidRPr="00B52E67">
        <w:rPr>
          <w:rFonts w:hint="eastAsia"/>
          <w:bCs/>
          <w:sz w:val="24"/>
          <w:highlight w:val="yellow"/>
        </w:rPr>
        <w:t>双报告</w:t>
      </w:r>
      <w:proofErr w:type="gramEnd"/>
      <w:r w:rsidRPr="00B52E67">
        <w:rPr>
          <w:rFonts w:hint="eastAsia"/>
          <w:bCs/>
          <w:sz w:val="24"/>
          <w:highlight w:val="yellow"/>
        </w:rPr>
        <w:t>基因载体：</w:t>
      </w:r>
    </w:p>
    <w:tbl>
      <w:tblPr>
        <w:tblStyle w:val="3"/>
        <w:tblW w:w="8472" w:type="dxa"/>
        <w:tblLook w:val="0600" w:firstRow="0" w:lastRow="0" w:firstColumn="0" w:lastColumn="0" w:noHBand="1" w:noVBand="1"/>
      </w:tblPr>
      <w:tblGrid>
        <w:gridCol w:w="698"/>
        <w:gridCol w:w="1066"/>
        <w:gridCol w:w="627"/>
        <w:gridCol w:w="1403"/>
        <w:gridCol w:w="992"/>
        <w:gridCol w:w="1418"/>
        <w:gridCol w:w="992"/>
        <w:gridCol w:w="1276"/>
      </w:tblGrid>
      <w:tr w:rsidR="00EA328C" w:rsidRPr="00DE635B" w:rsidTr="00EA328C">
        <w:trPr>
          <w:trHeight w:val="268"/>
        </w:trPr>
        <w:tc>
          <w:tcPr>
            <w:tcW w:w="698" w:type="dxa"/>
            <w:vMerge w:val="restart"/>
            <w:vAlign w:val="center"/>
            <w:hideMark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Calibri" w:hAnsi="Calibri" w:cs="Calibri"/>
                <w:b/>
                <w:bCs/>
                <w:kern w:val="24"/>
                <w:sz w:val="18"/>
                <w:szCs w:val="28"/>
              </w:rPr>
              <w:t>Cat</w:t>
            </w:r>
            <w:proofErr w:type="gramStart"/>
            <w:r w:rsidRPr="00DE635B">
              <w:rPr>
                <w:rFonts w:ascii="Calibri" w:hAnsi="Calibri" w:cs="Calibri"/>
                <w:b/>
                <w:bCs/>
                <w:kern w:val="24"/>
                <w:sz w:val="18"/>
                <w:szCs w:val="28"/>
              </w:rPr>
              <w:t>.#</w:t>
            </w:r>
            <w:proofErr w:type="gramEnd"/>
          </w:p>
        </w:tc>
        <w:tc>
          <w:tcPr>
            <w:tcW w:w="1066" w:type="dxa"/>
            <w:vMerge w:val="restart"/>
            <w:vAlign w:val="center"/>
            <w:hideMark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宋体" w:hAnsi="Arial" w:cs="Arial"/>
                <w:b/>
                <w:bCs/>
                <w:kern w:val="24"/>
                <w:sz w:val="18"/>
                <w:szCs w:val="28"/>
              </w:rPr>
              <w:t>载体</w:t>
            </w:r>
          </w:p>
        </w:tc>
        <w:tc>
          <w:tcPr>
            <w:tcW w:w="627" w:type="dxa"/>
            <w:vMerge w:val="restart"/>
            <w:vAlign w:val="center"/>
            <w:hideMark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  <w:t>骨架</w:t>
            </w:r>
          </w:p>
        </w:tc>
        <w:tc>
          <w:tcPr>
            <w:tcW w:w="2395" w:type="dxa"/>
            <w:gridSpan w:val="2"/>
            <w:vAlign w:val="center"/>
            <w:hideMark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  <w:r w:rsidRPr="00DE635B"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  <w:t>靶标报告基因</w:t>
            </w:r>
          </w:p>
        </w:tc>
        <w:tc>
          <w:tcPr>
            <w:tcW w:w="2410" w:type="dxa"/>
            <w:gridSpan w:val="2"/>
            <w:vAlign w:val="center"/>
            <w:hideMark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  <w:t>内参</w:t>
            </w:r>
            <w:r w:rsidRPr="00DE635B">
              <w:rPr>
                <w:rFonts w:ascii="Arial" w:hAnsi="Arial" w:cs="Arial" w:hint="eastAsia"/>
                <w:b/>
                <w:bCs/>
                <w:kern w:val="24"/>
                <w:sz w:val="18"/>
                <w:szCs w:val="28"/>
              </w:rPr>
              <w:t>报告</w:t>
            </w:r>
            <w:r w:rsidRPr="00DE635B"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  <w:t>基因</w:t>
            </w:r>
          </w:p>
        </w:tc>
        <w:tc>
          <w:tcPr>
            <w:tcW w:w="1276" w:type="dxa"/>
            <w:vMerge w:val="restart"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  <w:r>
              <w:rPr>
                <w:rFonts w:ascii="Arial" w:hAnsi="Arial" w:cs="Arial" w:hint="eastAsia"/>
                <w:b/>
                <w:bCs/>
                <w:kern w:val="24"/>
                <w:sz w:val="18"/>
                <w:szCs w:val="28"/>
              </w:rPr>
              <w:t>转染方式</w:t>
            </w:r>
          </w:p>
        </w:tc>
      </w:tr>
      <w:tr w:rsidR="00EA328C" w:rsidRPr="00DE635B" w:rsidTr="00EA328C">
        <w:trPr>
          <w:trHeight w:val="268"/>
        </w:trPr>
        <w:tc>
          <w:tcPr>
            <w:tcW w:w="698" w:type="dxa"/>
            <w:vMerge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Calibri" w:hAnsi="Calibri" w:cs="Calibri"/>
                <w:b/>
                <w:bCs/>
                <w:kern w:val="24"/>
                <w:sz w:val="18"/>
                <w:szCs w:val="28"/>
              </w:rPr>
            </w:pPr>
          </w:p>
        </w:tc>
        <w:tc>
          <w:tcPr>
            <w:tcW w:w="1066" w:type="dxa"/>
            <w:vMerge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Calibri" w:hAnsi="Calibri" w:cs="Calibri"/>
                <w:b/>
                <w:bCs/>
                <w:kern w:val="24"/>
                <w:sz w:val="18"/>
                <w:szCs w:val="28"/>
              </w:rPr>
            </w:pPr>
          </w:p>
        </w:tc>
        <w:tc>
          <w:tcPr>
            <w:tcW w:w="627" w:type="dxa"/>
            <w:vMerge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</w:p>
        </w:tc>
        <w:tc>
          <w:tcPr>
            <w:tcW w:w="1403" w:type="dxa"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  <w:r w:rsidRPr="00DE635B">
              <w:rPr>
                <w:rFonts w:ascii="Arial" w:hAnsi="Arial" w:cs="Arial" w:hint="eastAsia"/>
                <w:b/>
                <w:bCs/>
                <w:kern w:val="24"/>
                <w:sz w:val="18"/>
                <w:szCs w:val="28"/>
              </w:rPr>
              <w:t>萤光素酶</w:t>
            </w:r>
          </w:p>
        </w:tc>
        <w:tc>
          <w:tcPr>
            <w:tcW w:w="992" w:type="dxa"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  <w:r w:rsidRPr="00DE635B">
              <w:rPr>
                <w:rFonts w:ascii="Arial" w:hAnsi="Arial" w:cs="Arial" w:hint="eastAsia"/>
                <w:b/>
                <w:bCs/>
                <w:kern w:val="24"/>
                <w:sz w:val="18"/>
                <w:szCs w:val="28"/>
              </w:rPr>
              <w:t>启动子</w:t>
            </w:r>
          </w:p>
        </w:tc>
        <w:tc>
          <w:tcPr>
            <w:tcW w:w="1418" w:type="dxa"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  <w:r w:rsidRPr="00DE635B">
              <w:rPr>
                <w:rFonts w:ascii="Arial" w:hAnsi="Arial" w:cs="Arial" w:hint="eastAsia"/>
                <w:b/>
                <w:bCs/>
                <w:kern w:val="24"/>
                <w:sz w:val="18"/>
                <w:szCs w:val="28"/>
              </w:rPr>
              <w:t>萤光素酶</w:t>
            </w:r>
          </w:p>
        </w:tc>
        <w:tc>
          <w:tcPr>
            <w:tcW w:w="992" w:type="dxa"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  <w:r w:rsidRPr="00DE635B">
              <w:rPr>
                <w:rFonts w:ascii="Arial" w:hAnsi="Arial" w:cs="Arial" w:hint="eastAsia"/>
                <w:b/>
                <w:bCs/>
                <w:kern w:val="24"/>
                <w:sz w:val="18"/>
                <w:szCs w:val="28"/>
              </w:rPr>
              <w:t>启动子</w:t>
            </w:r>
          </w:p>
        </w:tc>
        <w:tc>
          <w:tcPr>
            <w:tcW w:w="1276" w:type="dxa"/>
            <w:vMerge/>
            <w:vAlign w:val="center"/>
          </w:tcPr>
          <w:p w:rsidR="00EA328C" w:rsidRPr="00DE635B" w:rsidRDefault="00EA328C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b/>
                <w:bCs/>
                <w:kern w:val="24"/>
                <w:sz w:val="18"/>
                <w:szCs w:val="28"/>
              </w:rPr>
            </w:pPr>
          </w:p>
        </w:tc>
      </w:tr>
      <w:tr w:rsidR="00EA328C" w:rsidRPr="00DE635B" w:rsidTr="00EA328C">
        <w:trPr>
          <w:trHeight w:val="295"/>
        </w:trPr>
        <w:tc>
          <w:tcPr>
            <w:tcW w:w="698" w:type="dxa"/>
            <w:vAlign w:val="center"/>
            <w:hideMark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Theme="minorHAnsi" w:hAnsi="Calibri" w:cs="Calibri"/>
                <w:b/>
                <w:bCs/>
                <w:kern w:val="24"/>
                <w:sz w:val="18"/>
                <w:szCs w:val="28"/>
              </w:rPr>
              <w:t>C8021</w:t>
            </w:r>
          </w:p>
        </w:tc>
        <w:tc>
          <w:tcPr>
            <w:tcW w:w="1066" w:type="dxa"/>
            <w:vAlign w:val="center"/>
            <w:hideMark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Calibri" w:hAnsi="Calibri" w:cs="Calibri"/>
                <w:b/>
                <w:bCs/>
                <w:kern w:val="24"/>
                <w:sz w:val="18"/>
                <w:szCs w:val="28"/>
              </w:rPr>
              <w:t>psiCHECK-2</w:t>
            </w:r>
          </w:p>
        </w:tc>
        <w:tc>
          <w:tcPr>
            <w:tcW w:w="627" w:type="dxa"/>
            <w:vAlign w:val="center"/>
            <w:hideMark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pGL3</w:t>
            </w:r>
          </w:p>
        </w:tc>
        <w:tc>
          <w:tcPr>
            <w:tcW w:w="1403" w:type="dxa"/>
            <w:vAlign w:val="center"/>
            <w:hideMark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proofErr w:type="spellStart"/>
            <w:r w:rsidRPr="00DE635B">
              <w:rPr>
                <w:rFonts w:asciiTheme="minorHAnsi" w:hAnsi="Calibri" w:cs="Calibri"/>
                <w:kern w:val="24"/>
                <w:sz w:val="18"/>
                <w:szCs w:val="28"/>
              </w:rPr>
              <w:t>h</w:t>
            </w: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Rluc</w:t>
            </w:r>
            <w:proofErr w:type="spellEnd"/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 xml:space="preserve"> (</w:t>
            </w:r>
            <w:r w:rsidRPr="00DE635B">
              <w:rPr>
                <w:rFonts w:ascii="Calibri" w:hAnsi="Arial" w:cs="Arial"/>
                <w:kern w:val="24"/>
                <w:sz w:val="18"/>
                <w:szCs w:val="28"/>
              </w:rPr>
              <w:t>海肾</w:t>
            </w: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Calibri" w:hAnsi="Calibri" w:cs="Calibri"/>
                <w:kern w:val="24"/>
                <w:sz w:val="18"/>
                <w:szCs w:val="28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SV40</w:t>
            </w:r>
          </w:p>
        </w:tc>
        <w:tc>
          <w:tcPr>
            <w:tcW w:w="1418" w:type="dxa"/>
            <w:vAlign w:val="center"/>
            <w:hideMark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proofErr w:type="spellStart"/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hluc</w:t>
            </w:r>
            <w:proofErr w:type="spellEnd"/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+ (</w:t>
            </w:r>
            <w:r w:rsidRPr="00DE635B">
              <w:rPr>
                <w:rFonts w:ascii="Calibri" w:hAnsi="Arial" w:cs="Arial"/>
                <w:kern w:val="24"/>
                <w:sz w:val="18"/>
                <w:szCs w:val="28"/>
              </w:rPr>
              <w:t>萤火虫</w:t>
            </w: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)</w:t>
            </w:r>
          </w:p>
        </w:tc>
        <w:tc>
          <w:tcPr>
            <w:tcW w:w="992" w:type="dxa"/>
            <w:vAlign w:val="center"/>
            <w:hideMark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36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TK</w:t>
            </w:r>
          </w:p>
        </w:tc>
        <w:tc>
          <w:tcPr>
            <w:tcW w:w="1276" w:type="dxa"/>
            <w:vAlign w:val="center"/>
          </w:tcPr>
          <w:p w:rsidR="00DE635B" w:rsidRPr="00DE635B" w:rsidRDefault="00DE635B" w:rsidP="00EA328C">
            <w:pPr>
              <w:widowControl/>
              <w:spacing w:line="240" w:lineRule="exact"/>
              <w:ind w:firstLineChars="0" w:firstLine="0"/>
              <w:jc w:val="center"/>
              <w:textAlignment w:val="center"/>
              <w:rPr>
                <w:rFonts w:ascii="Calibri" w:hAnsi="Calibri" w:cs="Calibri"/>
                <w:kern w:val="24"/>
                <w:sz w:val="18"/>
                <w:szCs w:val="28"/>
              </w:rPr>
            </w:pPr>
            <w:r>
              <w:rPr>
                <w:rFonts w:ascii="Calibri" w:hAnsi="Calibri" w:cs="Calibri" w:hint="eastAsia"/>
                <w:kern w:val="24"/>
                <w:sz w:val="18"/>
                <w:szCs w:val="28"/>
              </w:rPr>
              <w:t>瞬时转染</w:t>
            </w:r>
          </w:p>
        </w:tc>
      </w:tr>
      <w:tr w:rsidR="00EA328C" w:rsidRPr="00DE635B" w:rsidTr="00EA328C">
        <w:trPr>
          <w:trHeight w:val="46"/>
        </w:trPr>
        <w:tc>
          <w:tcPr>
            <w:tcW w:w="698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Arial" w:hAnsi="Arial" w:cs="Arial"/>
                <w:b/>
                <w:sz w:val="18"/>
                <w:szCs w:val="36"/>
              </w:rPr>
            </w:pPr>
            <w:r w:rsidRPr="00DE635B">
              <w:rPr>
                <w:rFonts w:asciiTheme="minorHAnsi" w:hAnsi="Calibri" w:cs="Calibri"/>
                <w:b/>
                <w:kern w:val="24"/>
                <w:sz w:val="18"/>
                <w:szCs w:val="28"/>
              </w:rPr>
              <w:t>E1330</w:t>
            </w:r>
          </w:p>
        </w:tc>
        <w:tc>
          <w:tcPr>
            <w:tcW w:w="1066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Arial" w:hAnsi="Arial" w:cs="Arial"/>
                <w:b/>
                <w:sz w:val="18"/>
                <w:szCs w:val="36"/>
              </w:rPr>
            </w:pPr>
            <w:r w:rsidRPr="00DE635B">
              <w:rPr>
                <w:rFonts w:ascii="Calibri" w:hAnsi="Calibri" w:cs="Calibri"/>
                <w:b/>
                <w:bCs/>
                <w:kern w:val="24"/>
                <w:sz w:val="18"/>
                <w:szCs w:val="28"/>
                <w:highlight w:val="yellow"/>
              </w:rPr>
              <w:t>pmirGLO</w:t>
            </w:r>
          </w:p>
        </w:tc>
        <w:tc>
          <w:tcPr>
            <w:tcW w:w="627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Arial" w:hAnsi="Arial" w:cs="Arial"/>
                <w:sz w:val="18"/>
                <w:szCs w:val="36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pGL4</w:t>
            </w:r>
          </w:p>
        </w:tc>
        <w:tc>
          <w:tcPr>
            <w:tcW w:w="1403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Arial" w:hAnsi="Arial" w:cs="Arial"/>
                <w:sz w:val="18"/>
                <w:szCs w:val="36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Luc2 (</w:t>
            </w:r>
            <w:r w:rsidRPr="00DE635B">
              <w:rPr>
                <w:rFonts w:ascii="Calibri" w:hAnsi="Arial" w:cs="Arial"/>
                <w:kern w:val="24"/>
                <w:sz w:val="18"/>
                <w:szCs w:val="28"/>
              </w:rPr>
              <w:t>萤火虫</w:t>
            </w: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Calibri" w:hAnsi="Calibri" w:cs="Calibri"/>
                <w:kern w:val="24"/>
                <w:sz w:val="18"/>
                <w:szCs w:val="28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  <w:highlight w:val="yellow"/>
              </w:rPr>
              <w:t>PGK</w:t>
            </w:r>
          </w:p>
        </w:tc>
        <w:tc>
          <w:tcPr>
            <w:tcW w:w="1418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Arial" w:hAnsi="Arial" w:cs="Arial"/>
                <w:sz w:val="18"/>
                <w:szCs w:val="36"/>
              </w:rPr>
            </w:pPr>
            <w:proofErr w:type="spellStart"/>
            <w:r w:rsidRPr="00DE635B">
              <w:rPr>
                <w:rFonts w:asciiTheme="minorHAnsi" w:hAnsi="Calibri" w:cs="Calibri"/>
                <w:kern w:val="24"/>
                <w:sz w:val="18"/>
                <w:szCs w:val="28"/>
              </w:rPr>
              <w:t>hRluc</w:t>
            </w:r>
            <w:proofErr w:type="spellEnd"/>
            <w:r w:rsidR="00EA328C">
              <w:rPr>
                <w:rFonts w:asciiTheme="minorHAnsi" w:hAnsi="Calibri" w:cs="Calibri" w:hint="eastAsia"/>
                <w:kern w:val="24"/>
                <w:sz w:val="18"/>
                <w:szCs w:val="28"/>
              </w:rPr>
              <w:t xml:space="preserve"> (</w:t>
            </w:r>
            <w:r w:rsidR="00EA328C">
              <w:rPr>
                <w:rFonts w:asciiTheme="minorHAnsi" w:hAnsi="Calibri" w:cs="Calibri" w:hint="eastAsia"/>
                <w:kern w:val="24"/>
                <w:sz w:val="18"/>
                <w:szCs w:val="28"/>
              </w:rPr>
              <w:t>海肾</w:t>
            </w:r>
            <w:r w:rsidR="00EA328C">
              <w:rPr>
                <w:rFonts w:asciiTheme="minorHAnsi" w:hAnsi="Calibri" w:cs="Calibri" w:hint="eastAsia"/>
                <w:kern w:val="24"/>
                <w:sz w:val="18"/>
                <w:szCs w:val="28"/>
              </w:rPr>
              <w:t>)</w:t>
            </w:r>
          </w:p>
        </w:tc>
        <w:tc>
          <w:tcPr>
            <w:tcW w:w="992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Arial" w:hAnsi="Arial" w:cs="Arial"/>
                <w:sz w:val="18"/>
                <w:szCs w:val="36"/>
              </w:rPr>
            </w:pPr>
            <w:r w:rsidRPr="00DE635B">
              <w:rPr>
                <w:rFonts w:ascii="Calibri" w:hAnsi="Calibri" w:cs="Calibri"/>
                <w:kern w:val="24"/>
                <w:sz w:val="18"/>
                <w:szCs w:val="28"/>
              </w:rPr>
              <w:t>SV40</w:t>
            </w:r>
          </w:p>
        </w:tc>
        <w:tc>
          <w:tcPr>
            <w:tcW w:w="1276" w:type="dxa"/>
            <w:vAlign w:val="center"/>
          </w:tcPr>
          <w:p w:rsidR="00DE635B" w:rsidRPr="00DE635B" w:rsidRDefault="00DE635B" w:rsidP="00EA328C">
            <w:pPr>
              <w:pStyle w:val="ac"/>
              <w:spacing w:before="0" w:beforeAutospacing="0" w:after="0" w:afterAutospacing="0" w:line="240" w:lineRule="exact"/>
              <w:jc w:val="center"/>
              <w:textAlignment w:val="center"/>
              <w:rPr>
                <w:rFonts w:ascii="Calibri" w:hAnsi="Calibri" w:cs="Calibri"/>
                <w:kern w:val="24"/>
                <w:sz w:val="18"/>
                <w:szCs w:val="28"/>
              </w:rPr>
            </w:pPr>
            <w:r>
              <w:rPr>
                <w:rFonts w:ascii="Calibri" w:hAnsi="Calibri" w:cs="Calibri" w:hint="eastAsia"/>
                <w:kern w:val="24"/>
                <w:sz w:val="18"/>
                <w:szCs w:val="28"/>
              </w:rPr>
              <w:t>瞬时转染或</w:t>
            </w:r>
            <w:r w:rsidRPr="00EA328C">
              <w:rPr>
                <w:rFonts w:ascii="Calibri" w:hAnsi="Calibri" w:cs="Calibri" w:hint="eastAsia"/>
                <w:kern w:val="24"/>
                <w:sz w:val="18"/>
                <w:szCs w:val="28"/>
                <w:highlight w:val="yellow"/>
              </w:rPr>
              <w:t>稳定转染</w:t>
            </w:r>
          </w:p>
        </w:tc>
      </w:tr>
    </w:tbl>
    <w:p w:rsidR="00F02D5D" w:rsidRPr="00D46AB9" w:rsidRDefault="00ED7D10" w:rsidP="003B3B71">
      <w:pPr>
        <w:spacing w:beforeLines="50" w:before="156" w:line="360" w:lineRule="auto"/>
        <w:ind w:firstLineChars="0" w:firstLine="0"/>
        <w:rPr>
          <w:bCs/>
          <w:sz w:val="24"/>
        </w:rPr>
      </w:pPr>
      <w:proofErr w:type="gramStart"/>
      <w:r w:rsidRPr="00B52E67">
        <w:rPr>
          <w:rFonts w:hint="eastAsia"/>
          <w:bCs/>
          <w:sz w:val="24"/>
          <w:highlight w:val="yellow"/>
        </w:rPr>
        <w:t>单报告</w:t>
      </w:r>
      <w:proofErr w:type="gramEnd"/>
      <w:r w:rsidRPr="00B52E67">
        <w:rPr>
          <w:rFonts w:hint="eastAsia"/>
          <w:bCs/>
          <w:sz w:val="24"/>
          <w:highlight w:val="yellow"/>
        </w:rPr>
        <w:t>基因载体：</w:t>
      </w:r>
      <w:r w:rsidR="00B52E67" w:rsidRPr="00B52E67">
        <w:rPr>
          <w:rFonts w:hint="eastAsia"/>
          <w:bCs/>
          <w:sz w:val="20"/>
        </w:rPr>
        <w:t>（需共转染萤火虫萤光素酶载体</w:t>
      </w:r>
      <w:r w:rsidR="00B52E67" w:rsidRPr="00B52E67">
        <w:rPr>
          <w:rFonts w:hint="eastAsia"/>
          <w:bCs/>
          <w:sz w:val="20"/>
        </w:rPr>
        <w:t>E1741</w:t>
      </w:r>
      <w:r w:rsidR="00B52E67" w:rsidRPr="00B52E67">
        <w:rPr>
          <w:rFonts w:hint="eastAsia"/>
          <w:bCs/>
          <w:sz w:val="20"/>
        </w:rPr>
        <w:t>或</w:t>
      </w:r>
      <w:r w:rsidR="00B52E67" w:rsidRPr="00B52E67">
        <w:rPr>
          <w:rFonts w:hint="eastAsia"/>
          <w:bCs/>
          <w:sz w:val="20"/>
        </w:rPr>
        <w:t>E6681</w:t>
      </w:r>
      <w:r w:rsidR="00B52E67" w:rsidRPr="00B52E67">
        <w:rPr>
          <w:rFonts w:hint="eastAsia"/>
          <w:bCs/>
          <w:sz w:val="20"/>
        </w:rPr>
        <w:t>做内参）</w:t>
      </w:r>
    </w:p>
    <w:tbl>
      <w:tblPr>
        <w:tblStyle w:val="3"/>
        <w:tblW w:w="7054" w:type="dxa"/>
        <w:tblLook w:val="0600" w:firstRow="0" w:lastRow="0" w:firstColumn="0" w:lastColumn="0" w:noHBand="1" w:noVBand="1"/>
      </w:tblPr>
      <w:tblGrid>
        <w:gridCol w:w="924"/>
        <w:gridCol w:w="1361"/>
        <w:gridCol w:w="2501"/>
        <w:gridCol w:w="992"/>
        <w:gridCol w:w="1276"/>
      </w:tblGrid>
      <w:tr w:rsidR="00EA328C" w:rsidRPr="00F13C48" w:rsidTr="00EA328C">
        <w:trPr>
          <w:trHeight w:val="213"/>
        </w:trPr>
        <w:tc>
          <w:tcPr>
            <w:tcW w:w="924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Cat</w:t>
            </w:r>
            <w:proofErr w:type="gramStart"/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.#</w:t>
            </w:r>
            <w:proofErr w:type="gramEnd"/>
          </w:p>
        </w:tc>
        <w:tc>
          <w:tcPr>
            <w:tcW w:w="1361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载体</w:t>
            </w:r>
          </w:p>
        </w:tc>
        <w:tc>
          <w:tcPr>
            <w:tcW w:w="2501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靶标报告基因</w:t>
            </w:r>
          </w:p>
        </w:tc>
        <w:tc>
          <w:tcPr>
            <w:tcW w:w="992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启动子</w:t>
            </w:r>
          </w:p>
        </w:tc>
        <w:tc>
          <w:tcPr>
            <w:tcW w:w="1276" w:type="dxa"/>
            <w:vAlign w:val="center"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 w:hint="eastAsia"/>
                <w:b/>
                <w:bCs/>
                <w:sz w:val="20"/>
              </w:rPr>
              <w:t>转染方式</w:t>
            </w:r>
          </w:p>
        </w:tc>
      </w:tr>
      <w:tr w:rsidR="00EA328C" w:rsidRPr="00F13C48" w:rsidTr="00EA328C">
        <w:trPr>
          <w:trHeight w:val="35"/>
        </w:trPr>
        <w:tc>
          <w:tcPr>
            <w:tcW w:w="924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C8011</w:t>
            </w:r>
          </w:p>
        </w:tc>
        <w:tc>
          <w:tcPr>
            <w:tcW w:w="1361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b/>
                <w:bCs/>
                <w:sz w:val="20"/>
              </w:rPr>
              <w:t>psiCHECK-1</w:t>
            </w:r>
          </w:p>
        </w:tc>
        <w:tc>
          <w:tcPr>
            <w:tcW w:w="2501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F13C48">
              <w:rPr>
                <w:rFonts w:asciiTheme="minorHAnsi" w:hAnsiTheme="minorHAnsi" w:cstheme="minorHAnsi"/>
                <w:sz w:val="20"/>
              </w:rPr>
              <w:t>hRluc</w:t>
            </w:r>
            <w:proofErr w:type="spellEnd"/>
            <w:r w:rsidRPr="00F13C48">
              <w:rPr>
                <w:rFonts w:asciiTheme="minorHAnsi" w:hAnsiTheme="minorHAnsi" w:cstheme="minorHAnsi"/>
                <w:sz w:val="20"/>
              </w:rPr>
              <w:t xml:space="preserve"> (</w:t>
            </w:r>
            <w:r w:rsidRPr="00F13C48">
              <w:rPr>
                <w:rFonts w:asciiTheme="minorHAnsi" w:hAnsiTheme="minorHAnsi" w:cstheme="minorHAnsi"/>
                <w:sz w:val="20"/>
              </w:rPr>
              <w:t>海肾萤光素酶</w:t>
            </w:r>
            <w:r w:rsidRPr="00F13C48">
              <w:rPr>
                <w:rFonts w:asciiTheme="minorHAnsi" w:hAnsiTheme="minorHAnsi" w:cstheme="minorHAnsi"/>
                <w:sz w:val="20"/>
              </w:rPr>
              <w:t>)</w:t>
            </w:r>
          </w:p>
        </w:tc>
        <w:tc>
          <w:tcPr>
            <w:tcW w:w="992" w:type="dxa"/>
            <w:vAlign w:val="center"/>
            <w:hideMark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3C48">
              <w:rPr>
                <w:rFonts w:asciiTheme="minorHAnsi" w:hAnsiTheme="minorHAnsi" w:cstheme="minorHAnsi"/>
                <w:sz w:val="20"/>
              </w:rPr>
              <w:t>SV40</w:t>
            </w:r>
          </w:p>
        </w:tc>
        <w:tc>
          <w:tcPr>
            <w:tcW w:w="1276" w:type="dxa"/>
            <w:vAlign w:val="center"/>
          </w:tcPr>
          <w:p w:rsidR="00EA328C" w:rsidRPr="00F13C48" w:rsidRDefault="00EA328C" w:rsidP="00EA328C">
            <w:pPr>
              <w:spacing w:line="276" w:lineRule="auto"/>
              <w:ind w:firstLineChars="0" w:firstLine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 w:hint="eastAsia"/>
                <w:sz w:val="20"/>
              </w:rPr>
              <w:t>瞬时转染</w:t>
            </w:r>
          </w:p>
        </w:tc>
      </w:tr>
    </w:tbl>
    <w:p w:rsidR="00F13C48" w:rsidRDefault="00B52E67" w:rsidP="00F13C48">
      <w:pPr>
        <w:ind w:firstLineChars="0" w:firstLine="0"/>
        <w:rPr>
          <w:b/>
        </w:rPr>
      </w:pPr>
      <w:r w:rsidRPr="00833C51">
        <w:rPr>
          <w:rFonts w:hint="eastAsia"/>
          <w:b/>
          <w:highlight w:val="yellow"/>
        </w:rPr>
        <w:lastRenderedPageBreak/>
        <w:t>研究</w:t>
      </w:r>
      <w:r w:rsidR="00F13C48" w:rsidRPr="00833C51">
        <w:rPr>
          <w:rFonts w:hint="eastAsia"/>
          <w:b/>
          <w:highlight w:val="yellow"/>
        </w:rPr>
        <w:t>思路</w:t>
      </w:r>
      <w:r w:rsidR="00FA630F">
        <w:rPr>
          <w:rFonts w:hint="eastAsia"/>
          <w:b/>
          <w:highlight w:val="yellow"/>
        </w:rPr>
        <w:t xml:space="preserve"> </w:t>
      </w:r>
      <w:proofErr w:type="gramStart"/>
      <w:r w:rsidR="00FA630F">
        <w:rPr>
          <w:rFonts w:hint="eastAsia"/>
          <w:b/>
          <w:highlight w:val="yellow"/>
        </w:rPr>
        <w:t>一</w:t>
      </w:r>
      <w:proofErr w:type="gramEnd"/>
      <w:r w:rsidRPr="00833C51">
        <w:rPr>
          <w:rFonts w:hint="eastAsia"/>
          <w:b/>
          <w:highlight w:val="yellow"/>
        </w:rPr>
        <w:t>：</w:t>
      </w:r>
      <w:r w:rsidR="000701CB" w:rsidRPr="000701CB">
        <w:rPr>
          <w:rFonts w:hint="eastAsia"/>
          <w:b/>
          <w:sz w:val="22"/>
          <w:highlight w:val="yellow"/>
        </w:rPr>
        <w:t>（明确</w:t>
      </w:r>
      <w:r w:rsidR="000701CB" w:rsidRPr="000701CB">
        <w:rPr>
          <w:rFonts w:hint="eastAsia"/>
          <w:b/>
          <w:sz w:val="22"/>
          <w:highlight w:val="yellow"/>
        </w:rPr>
        <w:t>miRNA</w:t>
      </w:r>
      <w:r w:rsidR="000701CB" w:rsidRPr="000701CB">
        <w:rPr>
          <w:rFonts w:hint="eastAsia"/>
          <w:b/>
          <w:sz w:val="22"/>
          <w:highlight w:val="yellow"/>
        </w:rPr>
        <w:t>结合位点，研究细胞内源性</w:t>
      </w:r>
      <w:r w:rsidR="000701CB" w:rsidRPr="000701CB">
        <w:rPr>
          <w:rFonts w:hint="eastAsia"/>
          <w:b/>
          <w:sz w:val="22"/>
          <w:highlight w:val="yellow"/>
        </w:rPr>
        <w:t>miRNA</w:t>
      </w:r>
      <w:r w:rsidR="000701CB" w:rsidRPr="000701CB">
        <w:rPr>
          <w:rFonts w:hint="eastAsia"/>
          <w:b/>
          <w:sz w:val="22"/>
          <w:highlight w:val="yellow"/>
        </w:rPr>
        <w:t>活性）</w:t>
      </w:r>
    </w:p>
    <w:p w:rsidR="00A3636C" w:rsidRDefault="00430C59" w:rsidP="00430C59">
      <w:pPr>
        <w:ind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21E945" wp14:editId="3FFEE9E9">
            <wp:extent cx="3714750" cy="167453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7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F68" w:rsidRPr="00C16F68" w:rsidRDefault="00C16F68" w:rsidP="00C16F68">
      <w:pPr>
        <w:ind w:firstLineChars="0" w:firstLine="0"/>
        <w:jc w:val="left"/>
        <w:rPr>
          <w:b/>
          <w:sz w:val="24"/>
        </w:rPr>
      </w:pPr>
      <w:r w:rsidRPr="00C16F68">
        <w:rPr>
          <w:rFonts w:hint="eastAsia"/>
          <w:b/>
          <w:sz w:val="24"/>
        </w:rPr>
        <w:t>miRNA</w:t>
      </w:r>
      <w:r w:rsidRPr="00C16F68">
        <w:rPr>
          <w:rFonts w:hint="eastAsia"/>
          <w:b/>
          <w:sz w:val="24"/>
        </w:rPr>
        <w:t>研究举例</w:t>
      </w:r>
      <w:r w:rsidRPr="00C16F68">
        <w:rPr>
          <w:rFonts w:hint="eastAsia"/>
          <w:b/>
          <w:sz w:val="24"/>
        </w:rPr>
        <w:t xml:space="preserve"> </w:t>
      </w:r>
      <w:r w:rsidRPr="00C16F68">
        <w:rPr>
          <w:rFonts w:hint="eastAsia"/>
          <w:b/>
          <w:sz w:val="24"/>
        </w:rPr>
        <w:t>一</w:t>
      </w:r>
    </w:p>
    <w:p w:rsidR="00F13C48" w:rsidRDefault="00F13C48" w:rsidP="00F13C48">
      <w:pPr>
        <w:ind w:firstLineChars="0" w:firstLine="0"/>
      </w:pPr>
      <w:r>
        <w:rPr>
          <w:noProof/>
        </w:rPr>
        <w:drawing>
          <wp:inline distT="0" distB="0" distL="0" distR="0" wp14:anchorId="4EB444C7" wp14:editId="74BF6BD1">
            <wp:extent cx="5356860" cy="5867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34" cy="59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C48" w:rsidRDefault="00F13C48" w:rsidP="00F13C48">
      <w:pPr>
        <w:ind w:firstLineChars="0" w:firstLine="0"/>
      </w:pPr>
      <w:r>
        <w:rPr>
          <w:noProof/>
        </w:rPr>
        <w:drawing>
          <wp:inline distT="0" distB="0" distL="0" distR="0" wp14:anchorId="6E9835D9" wp14:editId="6056A8A9">
            <wp:extent cx="5397060" cy="26193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67" cy="263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C48" w:rsidRDefault="00F13C48" w:rsidP="00F13C48">
      <w:pPr>
        <w:ind w:firstLineChars="0" w:firstLine="0"/>
      </w:pPr>
      <w:r>
        <w:rPr>
          <w:noProof/>
        </w:rPr>
        <w:drawing>
          <wp:inline distT="0" distB="0" distL="0" distR="0" wp14:anchorId="77914BB5" wp14:editId="1C1269AC">
            <wp:extent cx="5389665" cy="2895600"/>
            <wp:effectExtent l="0" t="0" r="190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51" cy="289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8BF" w:rsidRPr="00BF039A" w:rsidRDefault="00E248BF" w:rsidP="00E248BF">
      <w:pPr>
        <w:ind w:firstLineChars="0" w:firstLine="0"/>
        <w:rPr>
          <w:b/>
        </w:rPr>
      </w:pPr>
      <w:r w:rsidRPr="00BF039A">
        <w:rPr>
          <w:rFonts w:hint="eastAsia"/>
          <w:b/>
        </w:rPr>
        <w:lastRenderedPageBreak/>
        <w:t>miRNA</w:t>
      </w:r>
      <w:r w:rsidRPr="00BF039A">
        <w:rPr>
          <w:rFonts w:hint="eastAsia"/>
          <w:b/>
        </w:rPr>
        <w:t>研究举例</w:t>
      </w:r>
      <w:r w:rsidRPr="00BF039A">
        <w:rPr>
          <w:rFonts w:hint="eastAsia"/>
          <w:b/>
        </w:rPr>
        <w:t xml:space="preserve"> </w:t>
      </w:r>
      <w:r>
        <w:rPr>
          <w:rFonts w:hint="eastAsia"/>
          <w:b/>
        </w:rPr>
        <w:t>二</w:t>
      </w:r>
    </w:p>
    <w:p w:rsidR="00E248BF" w:rsidRDefault="007F5AE5" w:rsidP="00E248BF">
      <w:pPr>
        <w:ind w:firstLineChars="0" w:firstLine="0"/>
        <w:rPr>
          <w:sz w:val="20"/>
          <w:highlight w:val="yellow"/>
        </w:rPr>
      </w:pPr>
      <w:r>
        <w:rPr>
          <w:noProof/>
          <w:sz w:val="20"/>
        </w:rPr>
        <w:drawing>
          <wp:inline distT="0" distB="0" distL="0" distR="0" wp14:anchorId="2425FD61">
            <wp:extent cx="5321223" cy="3667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78" cy="366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8BF" w:rsidRDefault="00E248BF" w:rsidP="00F13C48">
      <w:pPr>
        <w:ind w:firstLineChars="0" w:firstLine="0"/>
        <w:rPr>
          <w:b/>
        </w:rPr>
      </w:pPr>
    </w:p>
    <w:p w:rsidR="00C16F68" w:rsidRPr="00BF039A" w:rsidRDefault="00C16F68" w:rsidP="00F13C48">
      <w:pPr>
        <w:ind w:firstLineChars="0" w:firstLine="0"/>
        <w:rPr>
          <w:b/>
        </w:rPr>
      </w:pPr>
      <w:r w:rsidRPr="00BF039A">
        <w:rPr>
          <w:rFonts w:hint="eastAsia"/>
          <w:b/>
        </w:rPr>
        <w:t>miRNA</w:t>
      </w:r>
      <w:r w:rsidRPr="00BF039A">
        <w:rPr>
          <w:rFonts w:hint="eastAsia"/>
          <w:b/>
        </w:rPr>
        <w:t>研究举例</w:t>
      </w:r>
      <w:r w:rsidRPr="00BF039A">
        <w:rPr>
          <w:rFonts w:hint="eastAsia"/>
          <w:b/>
        </w:rPr>
        <w:t xml:space="preserve"> </w:t>
      </w:r>
      <w:r w:rsidR="00E248BF">
        <w:rPr>
          <w:rFonts w:hint="eastAsia"/>
          <w:b/>
        </w:rPr>
        <w:t>三</w:t>
      </w:r>
    </w:p>
    <w:p w:rsidR="00C16F68" w:rsidRPr="00C16F68" w:rsidRDefault="00B337FA" w:rsidP="007F5AE5">
      <w:pPr>
        <w:ind w:firstLineChars="0" w:firstLine="0"/>
        <w:rPr>
          <w:b/>
        </w:rPr>
      </w:pPr>
      <w:r>
        <w:rPr>
          <w:noProof/>
          <w:sz w:val="20"/>
        </w:rPr>
        <w:drawing>
          <wp:inline distT="0" distB="0" distL="0" distR="0" wp14:anchorId="54CB33C9" wp14:editId="128E7DEA">
            <wp:extent cx="5420296" cy="36766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12" cy="367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150" w:rsidRDefault="00BE6150" w:rsidP="00F13C48">
      <w:pPr>
        <w:ind w:firstLineChars="0" w:firstLine="0"/>
        <w:rPr>
          <w:b/>
        </w:rPr>
      </w:pPr>
      <w:r w:rsidRPr="00E80680">
        <w:rPr>
          <w:rFonts w:hint="eastAsia"/>
          <w:b/>
          <w:highlight w:val="yellow"/>
        </w:rPr>
        <w:lastRenderedPageBreak/>
        <w:t>研究思路</w:t>
      </w:r>
      <w:r w:rsidRPr="00E80680">
        <w:rPr>
          <w:rFonts w:hint="eastAsia"/>
          <w:b/>
          <w:highlight w:val="yellow"/>
        </w:rPr>
        <w:t xml:space="preserve"> </w:t>
      </w:r>
      <w:r w:rsidRPr="00E80680">
        <w:rPr>
          <w:rFonts w:hint="eastAsia"/>
          <w:b/>
          <w:highlight w:val="yellow"/>
        </w:rPr>
        <w:t>二</w:t>
      </w:r>
      <w:r w:rsidR="000701CB" w:rsidRPr="000701CB">
        <w:rPr>
          <w:rFonts w:hint="eastAsia"/>
          <w:b/>
          <w:highlight w:val="yellow"/>
        </w:rPr>
        <w:t>:</w:t>
      </w:r>
      <w:r w:rsidR="000701CB" w:rsidRPr="000701CB">
        <w:rPr>
          <w:rFonts w:hint="eastAsia"/>
          <w:b/>
          <w:sz w:val="24"/>
          <w:highlight w:val="yellow"/>
        </w:rPr>
        <w:t>（高通量筛选有效</w:t>
      </w:r>
      <w:r w:rsidR="00152A3C">
        <w:rPr>
          <w:rFonts w:hint="eastAsia"/>
          <w:b/>
          <w:sz w:val="24"/>
          <w:highlight w:val="yellow"/>
        </w:rPr>
        <w:t>的</w:t>
      </w:r>
      <w:r w:rsidR="000701CB" w:rsidRPr="000701CB">
        <w:rPr>
          <w:rFonts w:hint="eastAsia"/>
          <w:b/>
          <w:sz w:val="24"/>
          <w:highlight w:val="yellow"/>
        </w:rPr>
        <w:t>siRNA</w:t>
      </w:r>
      <w:r w:rsidR="000701CB" w:rsidRPr="000701CB">
        <w:rPr>
          <w:rFonts w:hint="eastAsia"/>
          <w:b/>
          <w:sz w:val="24"/>
          <w:highlight w:val="yellow"/>
        </w:rPr>
        <w:t>）</w:t>
      </w:r>
    </w:p>
    <w:p w:rsidR="00BE6150" w:rsidRDefault="00BE6150" w:rsidP="00BE6150">
      <w:pPr>
        <w:ind w:firstLineChars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D126D90">
            <wp:extent cx="2904186" cy="94845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70" cy="94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150" w:rsidRPr="00BE6150" w:rsidRDefault="00BE6150" w:rsidP="00BE6150">
      <w:pPr>
        <w:ind w:firstLineChars="0" w:firstLine="0"/>
        <w:jc w:val="center"/>
        <w:rPr>
          <w:b/>
        </w:rPr>
      </w:pPr>
      <w:r w:rsidRPr="00BE6150">
        <w:rPr>
          <w:b/>
          <w:noProof/>
        </w:rPr>
        <w:drawing>
          <wp:inline distT="0" distB="0" distL="0" distR="0" wp14:anchorId="12A5D1FD" wp14:editId="7E759ACB">
            <wp:extent cx="5274310" cy="3199992"/>
            <wp:effectExtent l="0" t="0" r="2540" b="63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3C48" w:rsidRPr="003D1F35" w:rsidRDefault="00F13C48" w:rsidP="00E912E0">
      <w:pPr>
        <w:spacing w:line="360" w:lineRule="auto"/>
        <w:ind w:firstLineChars="0" w:firstLine="0"/>
        <w:rPr>
          <w:sz w:val="20"/>
        </w:rPr>
      </w:pPr>
      <w:r w:rsidRPr="00EA328C">
        <w:rPr>
          <w:rFonts w:hint="eastAsia"/>
          <w:sz w:val="24"/>
          <w:highlight w:val="yellow"/>
        </w:rPr>
        <w:t>miRNA</w:t>
      </w:r>
      <w:r w:rsidRPr="00EA328C">
        <w:rPr>
          <w:rFonts w:hint="eastAsia"/>
          <w:sz w:val="24"/>
          <w:highlight w:val="yellow"/>
        </w:rPr>
        <w:t>研究文献</w:t>
      </w:r>
      <w:r w:rsidR="003D1F35" w:rsidRPr="00CF78E8">
        <w:rPr>
          <w:rFonts w:hint="eastAsia"/>
          <w:sz w:val="15"/>
        </w:rPr>
        <w:t>（更多</w:t>
      </w:r>
      <w:r w:rsidR="00C16F68" w:rsidRPr="00CF78E8">
        <w:rPr>
          <w:rFonts w:hint="eastAsia"/>
          <w:sz w:val="15"/>
        </w:rPr>
        <w:t>研究</w:t>
      </w:r>
      <w:r w:rsidR="003D1F35" w:rsidRPr="00CF78E8">
        <w:rPr>
          <w:rFonts w:hint="eastAsia"/>
          <w:sz w:val="15"/>
        </w:rPr>
        <w:t>文献可用</w:t>
      </w:r>
      <w:proofErr w:type="spellStart"/>
      <w:r w:rsidR="003D1F35" w:rsidRPr="00CF78E8">
        <w:rPr>
          <w:rFonts w:hint="eastAsia"/>
          <w:sz w:val="15"/>
        </w:rPr>
        <w:t>psiCHECK</w:t>
      </w:r>
      <w:proofErr w:type="spellEnd"/>
      <w:r w:rsidR="00C16F68" w:rsidRPr="00CF78E8">
        <w:rPr>
          <w:rFonts w:hint="eastAsia"/>
          <w:sz w:val="15"/>
        </w:rPr>
        <w:t>或</w:t>
      </w:r>
      <w:r w:rsidR="003D1F35" w:rsidRPr="00CF78E8">
        <w:rPr>
          <w:rFonts w:hint="eastAsia"/>
          <w:sz w:val="15"/>
        </w:rPr>
        <w:t>pmirGlo</w:t>
      </w:r>
      <w:r w:rsidR="003D1F35" w:rsidRPr="00CF78E8">
        <w:rPr>
          <w:rFonts w:hint="eastAsia"/>
          <w:sz w:val="15"/>
        </w:rPr>
        <w:t>为关键词在</w:t>
      </w:r>
      <w:r w:rsidR="003D1F35" w:rsidRPr="00CF78E8">
        <w:rPr>
          <w:rFonts w:hint="eastAsia"/>
          <w:sz w:val="15"/>
        </w:rPr>
        <w:t>Highware</w:t>
      </w:r>
      <w:r w:rsidR="003D1F35" w:rsidRPr="00CF78E8">
        <w:rPr>
          <w:rFonts w:hint="eastAsia"/>
          <w:sz w:val="15"/>
        </w:rPr>
        <w:t>检索得到）</w:t>
      </w:r>
      <w:r w:rsidRPr="00CF78E8">
        <w:rPr>
          <w:rFonts w:hint="eastAsia"/>
          <w:sz w:val="18"/>
        </w:rPr>
        <w:t>：</w:t>
      </w:r>
    </w:p>
    <w:p w:rsidR="00F13C48" w:rsidRPr="00E912E0" w:rsidRDefault="00CF78E8" w:rsidP="00E912E0">
      <w:pPr>
        <w:pStyle w:val="a3"/>
        <w:numPr>
          <w:ilvl w:val="0"/>
          <w:numId w:val="6"/>
        </w:numPr>
        <w:spacing w:line="240" w:lineRule="exact"/>
        <w:ind w:left="240" w:hangingChars="150" w:hanging="240"/>
        <w:rPr>
          <w:i/>
          <w:sz w:val="16"/>
        </w:rPr>
      </w:pPr>
      <w:r w:rsidRPr="00E912E0">
        <w:rPr>
          <w:sz w:val="16"/>
        </w:rPr>
        <w:t>BRCA1 regulates microRNA biogenesis via the DROSHA microprocessor complex</w:t>
      </w:r>
      <w:r w:rsidR="00F13C48" w:rsidRPr="00E912E0">
        <w:rPr>
          <w:rFonts w:hint="eastAsia"/>
          <w:sz w:val="16"/>
        </w:rPr>
        <w:t xml:space="preserve">. </w:t>
      </w:r>
      <w:r w:rsidRPr="00E912E0">
        <w:rPr>
          <w:i/>
          <w:sz w:val="16"/>
        </w:rPr>
        <w:t>Shinji Kawai</w:t>
      </w:r>
      <w:r w:rsidR="00F13C48" w:rsidRPr="00E912E0">
        <w:rPr>
          <w:i/>
          <w:sz w:val="16"/>
        </w:rPr>
        <w:t xml:space="preserve"> et al, 20</w:t>
      </w:r>
      <w:r w:rsidRPr="00E912E0">
        <w:rPr>
          <w:rFonts w:hint="eastAsia"/>
          <w:i/>
          <w:sz w:val="16"/>
        </w:rPr>
        <w:t>12</w:t>
      </w:r>
      <w:r w:rsidR="00F13C48" w:rsidRPr="00E912E0">
        <w:rPr>
          <w:i/>
          <w:sz w:val="16"/>
        </w:rPr>
        <w:t xml:space="preserve">, </w:t>
      </w:r>
      <w:r w:rsidRPr="00E912E0">
        <w:rPr>
          <w:b/>
          <w:i/>
          <w:sz w:val="16"/>
          <w:highlight w:val="green"/>
        </w:rPr>
        <w:t xml:space="preserve">J. Cell </w:t>
      </w:r>
      <w:proofErr w:type="spellStart"/>
      <w:r w:rsidRPr="00E912E0">
        <w:rPr>
          <w:b/>
          <w:i/>
          <w:sz w:val="16"/>
          <w:highlight w:val="green"/>
        </w:rPr>
        <w:t>Biol</w:t>
      </w:r>
      <w:proofErr w:type="spellEnd"/>
      <w:r w:rsidR="00F13C48" w:rsidRPr="00E912E0">
        <w:rPr>
          <w:i/>
          <w:sz w:val="16"/>
        </w:rPr>
        <w:t xml:space="preserve"> volume </w:t>
      </w:r>
      <w:r w:rsidRPr="00E912E0">
        <w:rPr>
          <w:i/>
          <w:sz w:val="16"/>
        </w:rPr>
        <w:t>197: 201</w:t>
      </w:r>
    </w:p>
    <w:p w:rsidR="00F13C48" w:rsidRPr="00E912E0" w:rsidRDefault="00CF78E8" w:rsidP="00E912E0">
      <w:pPr>
        <w:pStyle w:val="a3"/>
        <w:numPr>
          <w:ilvl w:val="0"/>
          <w:numId w:val="6"/>
        </w:numPr>
        <w:spacing w:line="240" w:lineRule="exact"/>
        <w:ind w:left="240" w:hangingChars="150" w:hanging="240"/>
        <w:rPr>
          <w:sz w:val="16"/>
        </w:rPr>
      </w:pPr>
      <w:r w:rsidRPr="00E912E0">
        <w:rPr>
          <w:sz w:val="16"/>
        </w:rPr>
        <w:t>Sperm-borne microRNA-34c is required for the first cleavage division in mouse</w:t>
      </w:r>
      <w:r w:rsidR="00F13C48" w:rsidRPr="00A73CC1">
        <w:rPr>
          <w:rFonts w:hint="eastAsia"/>
          <w:sz w:val="16"/>
        </w:rPr>
        <w:t>.</w:t>
      </w:r>
      <w:r w:rsidR="00F13C48" w:rsidRPr="00E912E0">
        <w:rPr>
          <w:rFonts w:hint="eastAsia"/>
          <w:sz w:val="16"/>
        </w:rPr>
        <w:t xml:space="preserve"> </w:t>
      </w:r>
      <w:r w:rsidRPr="00E912E0">
        <w:rPr>
          <w:i/>
          <w:iCs/>
          <w:sz w:val="16"/>
        </w:rPr>
        <w:t>Wei-Min Liu</w:t>
      </w:r>
      <w:r w:rsidR="00F13C48" w:rsidRPr="00E912E0">
        <w:rPr>
          <w:i/>
          <w:iCs/>
          <w:sz w:val="16"/>
        </w:rPr>
        <w:t xml:space="preserve"> et al., 20</w:t>
      </w:r>
      <w:r w:rsidRPr="00E912E0">
        <w:rPr>
          <w:rFonts w:hint="eastAsia"/>
          <w:i/>
          <w:iCs/>
          <w:sz w:val="16"/>
        </w:rPr>
        <w:t>12</w:t>
      </w:r>
      <w:r w:rsidR="00F13C48" w:rsidRPr="00E912E0">
        <w:rPr>
          <w:i/>
          <w:iCs/>
          <w:sz w:val="16"/>
        </w:rPr>
        <w:t xml:space="preserve">, </w:t>
      </w:r>
      <w:r w:rsidRPr="00E912E0">
        <w:rPr>
          <w:rFonts w:hint="eastAsia"/>
          <w:b/>
          <w:i/>
          <w:iCs/>
          <w:sz w:val="16"/>
          <w:highlight w:val="green"/>
        </w:rPr>
        <w:t>PNAS</w:t>
      </w:r>
      <w:r w:rsidR="00F13C48" w:rsidRPr="00E912E0">
        <w:rPr>
          <w:i/>
          <w:iCs/>
          <w:sz w:val="16"/>
        </w:rPr>
        <w:t xml:space="preserve">, volume </w:t>
      </w:r>
      <w:r w:rsidRPr="00E912E0">
        <w:rPr>
          <w:i/>
          <w:iCs/>
          <w:sz w:val="16"/>
        </w:rPr>
        <w:t>109: 490</w:t>
      </w:r>
      <w:bookmarkStart w:id="0" w:name="_GoBack"/>
      <w:bookmarkEnd w:id="0"/>
    </w:p>
    <w:p w:rsidR="00C16F68" w:rsidRPr="00EA328C" w:rsidRDefault="00CF78E8" w:rsidP="00E912E0">
      <w:pPr>
        <w:spacing w:line="360" w:lineRule="auto"/>
        <w:ind w:firstLineChars="0" w:firstLine="0"/>
        <w:rPr>
          <w:sz w:val="24"/>
          <w:highlight w:val="yellow"/>
        </w:rPr>
      </w:pPr>
      <w:r w:rsidRPr="00EA328C">
        <w:rPr>
          <w:rFonts w:hint="eastAsia"/>
          <w:sz w:val="24"/>
          <w:highlight w:val="yellow"/>
        </w:rPr>
        <w:t>siRNA</w:t>
      </w:r>
      <w:r w:rsidR="000701CB" w:rsidRPr="00EA328C">
        <w:rPr>
          <w:rFonts w:hint="eastAsia"/>
          <w:sz w:val="24"/>
          <w:highlight w:val="yellow"/>
        </w:rPr>
        <w:t>/dsRNA</w:t>
      </w:r>
      <w:r w:rsidR="000701CB" w:rsidRPr="00EA328C">
        <w:rPr>
          <w:rFonts w:hint="eastAsia"/>
          <w:sz w:val="24"/>
          <w:highlight w:val="yellow"/>
        </w:rPr>
        <w:t>应用</w:t>
      </w:r>
      <w:r w:rsidRPr="00EA328C">
        <w:rPr>
          <w:rFonts w:hint="eastAsia"/>
          <w:sz w:val="24"/>
          <w:highlight w:val="yellow"/>
        </w:rPr>
        <w:t>文献：</w:t>
      </w:r>
    </w:p>
    <w:p w:rsidR="00CF78E8" w:rsidRPr="00E912E0" w:rsidRDefault="000701CB" w:rsidP="00E912E0">
      <w:pPr>
        <w:pStyle w:val="a3"/>
        <w:numPr>
          <w:ilvl w:val="0"/>
          <w:numId w:val="8"/>
        </w:numPr>
        <w:spacing w:line="240" w:lineRule="exact"/>
        <w:ind w:left="240" w:hangingChars="150" w:hanging="240"/>
        <w:rPr>
          <w:sz w:val="20"/>
        </w:rPr>
      </w:pPr>
      <w:r w:rsidRPr="00E912E0">
        <w:rPr>
          <w:sz w:val="16"/>
        </w:rPr>
        <w:t xml:space="preserve">Loss of human </w:t>
      </w:r>
      <w:proofErr w:type="spellStart"/>
      <w:r w:rsidRPr="00E912E0">
        <w:rPr>
          <w:sz w:val="16"/>
        </w:rPr>
        <w:t>Greatwall</w:t>
      </w:r>
      <w:proofErr w:type="spellEnd"/>
      <w:r w:rsidRPr="00E912E0">
        <w:rPr>
          <w:sz w:val="16"/>
        </w:rPr>
        <w:t xml:space="preserve"> results in G2 arrest and multiple mitotic defects due to deregulation of the </w:t>
      </w:r>
      <w:proofErr w:type="spellStart"/>
      <w:r w:rsidRPr="00E912E0">
        <w:rPr>
          <w:sz w:val="16"/>
        </w:rPr>
        <w:t>cyclin</w:t>
      </w:r>
      <w:proofErr w:type="spellEnd"/>
      <w:r w:rsidRPr="00E912E0">
        <w:rPr>
          <w:sz w:val="16"/>
        </w:rPr>
        <w:t xml:space="preserve"> B-Cdc2/PP2A balance</w:t>
      </w:r>
      <w:r w:rsidRPr="00E912E0">
        <w:rPr>
          <w:rFonts w:hint="eastAsia"/>
          <w:sz w:val="16"/>
        </w:rPr>
        <w:t xml:space="preserve">. </w:t>
      </w:r>
      <w:r w:rsidRPr="00E912E0">
        <w:rPr>
          <w:i/>
          <w:iCs/>
          <w:sz w:val="16"/>
        </w:rPr>
        <w:t xml:space="preserve">Andrew Burgess, et al., 2010, </w:t>
      </w:r>
      <w:r w:rsidRPr="00E912E0">
        <w:rPr>
          <w:i/>
          <w:iCs/>
          <w:sz w:val="16"/>
          <w:highlight w:val="green"/>
        </w:rPr>
        <w:t>PNAS</w:t>
      </w:r>
      <w:r w:rsidRPr="00E912E0">
        <w:rPr>
          <w:i/>
          <w:iCs/>
          <w:sz w:val="16"/>
        </w:rPr>
        <w:t>, 107, 12564–12569</w:t>
      </w:r>
    </w:p>
    <w:p w:rsidR="000701CB" w:rsidRPr="00E912E0" w:rsidRDefault="000701CB" w:rsidP="00E912E0">
      <w:pPr>
        <w:pStyle w:val="a3"/>
        <w:numPr>
          <w:ilvl w:val="0"/>
          <w:numId w:val="8"/>
        </w:numPr>
        <w:spacing w:line="240" w:lineRule="exact"/>
        <w:ind w:left="240" w:hangingChars="150" w:hanging="240"/>
        <w:rPr>
          <w:sz w:val="16"/>
        </w:rPr>
      </w:pPr>
      <w:r w:rsidRPr="00E912E0">
        <w:rPr>
          <w:sz w:val="16"/>
        </w:rPr>
        <w:t>The SoxC protein SEM-2 opposes differentiation factors to promote a proliferative blast cell fate in the postembryonic mesoderm</w:t>
      </w:r>
      <w:r w:rsidRPr="00E912E0">
        <w:rPr>
          <w:rFonts w:hint="eastAsia"/>
          <w:sz w:val="16"/>
        </w:rPr>
        <w:t xml:space="preserve">. </w:t>
      </w:r>
      <w:proofErr w:type="spellStart"/>
      <w:r w:rsidRPr="00E912E0">
        <w:rPr>
          <w:i/>
          <w:sz w:val="16"/>
        </w:rPr>
        <w:t>Chenxi</w:t>
      </w:r>
      <w:proofErr w:type="spellEnd"/>
      <w:r w:rsidRPr="00E912E0">
        <w:rPr>
          <w:i/>
          <w:sz w:val="16"/>
        </w:rPr>
        <w:t xml:space="preserve"> </w:t>
      </w:r>
      <w:proofErr w:type="spellStart"/>
      <w:r w:rsidRPr="00E912E0">
        <w:rPr>
          <w:i/>
          <w:sz w:val="16"/>
        </w:rPr>
        <w:t>Tian</w:t>
      </w:r>
      <w:proofErr w:type="spellEnd"/>
      <w:r w:rsidRPr="00E912E0">
        <w:rPr>
          <w:i/>
          <w:sz w:val="16"/>
        </w:rPr>
        <w:t xml:space="preserve">, et al., 2011, </w:t>
      </w:r>
      <w:r w:rsidRPr="00E912E0">
        <w:rPr>
          <w:i/>
          <w:sz w:val="16"/>
          <w:highlight w:val="green"/>
        </w:rPr>
        <w:t>Development</w:t>
      </w:r>
      <w:r w:rsidRPr="00E912E0">
        <w:rPr>
          <w:i/>
          <w:sz w:val="16"/>
        </w:rPr>
        <w:t xml:space="preserve"> 138, 1033-1043</w:t>
      </w:r>
    </w:p>
    <w:p w:rsidR="00C16F68" w:rsidRPr="00EA328C" w:rsidRDefault="004A4E2D" w:rsidP="00E912E0">
      <w:pPr>
        <w:spacing w:line="360" w:lineRule="auto"/>
        <w:ind w:firstLineChars="0" w:firstLine="0"/>
        <w:rPr>
          <w:sz w:val="24"/>
          <w:highlight w:val="yellow"/>
        </w:rPr>
      </w:pPr>
      <w:r w:rsidRPr="00EA328C">
        <w:rPr>
          <w:rFonts w:hint="eastAsia"/>
          <w:sz w:val="24"/>
          <w:highlight w:val="yellow"/>
        </w:rPr>
        <w:t>shRNA</w:t>
      </w:r>
      <w:r w:rsidR="000701CB" w:rsidRPr="00EA328C">
        <w:rPr>
          <w:rFonts w:hint="eastAsia"/>
          <w:sz w:val="24"/>
          <w:highlight w:val="yellow"/>
        </w:rPr>
        <w:t>应用</w:t>
      </w:r>
      <w:r w:rsidRPr="00EA328C">
        <w:rPr>
          <w:rFonts w:hint="eastAsia"/>
          <w:sz w:val="24"/>
          <w:highlight w:val="yellow"/>
        </w:rPr>
        <w:t>文献：</w:t>
      </w:r>
    </w:p>
    <w:p w:rsidR="004A4E2D" w:rsidRPr="00E912E0" w:rsidRDefault="004A4E2D" w:rsidP="00E912E0">
      <w:pPr>
        <w:pStyle w:val="a3"/>
        <w:numPr>
          <w:ilvl w:val="0"/>
          <w:numId w:val="7"/>
        </w:numPr>
        <w:spacing w:line="240" w:lineRule="exact"/>
        <w:ind w:left="240" w:hangingChars="150" w:hanging="240"/>
        <w:rPr>
          <w:sz w:val="20"/>
        </w:rPr>
      </w:pPr>
      <w:r w:rsidRPr="00E912E0">
        <w:rPr>
          <w:sz w:val="16"/>
        </w:rPr>
        <w:t>RIAM Regulates the Cytoskeletal Distribution and Activation of PLC-1 in T Cells</w:t>
      </w:r>
      <w:r w:rsidRPr="00E912E0">
        <w:rPr>
          <w:rFonts w:hint="eastAsia"/>
          <w:sz w:val="16"/>
        </w:rPr>
        <w:t xml:space="preserve">. </w:t>
      </w:r>
      <w:proofErr w:type="spellStart"/>
      <w:r w:rsidRPr="00E912E0">
        <w:rPr>
          <w:i/>
          <w:sz w:val="16"/>
        </w:rPr>
        <w:t>Nikolaos</w:t>
      </w:r>
      <w:proofErr w:type="spellEnd"/>
      <w:r w:rsidRPr="00E912E0">
        <w:rPr>
          <w:i/>
          <w:sz w:val="16"/>
        </w:rPr>
        <w:t xml:space="preserve"> </w:t>
      </w:r>
      <w:proofErr w:type="spellStart"/>
      <w:r w:rsidRPr="00E912E0">
        <w:rPr>
          <w:i/>
          <w:sz w:val="16"/>
        </w:rPr>
        <w:t>Patsoukis</w:t>
      </w:r>
      <w:proofErr w:type="spellEnd"/>
      <w:r w:rsidRPr="00E912E0">
        <w:rPr>
          <w:i/>
          <w:sz w:val="16"/>
        </w:rPr>
        <w:t xml:space="preserve"> et al, 200</w:t>
      </w:r>
      <w:r w:rsidRPr="00E912E0">
        <w:rPr>
          <w:rFonts w:hint="eastAsia"/>
          <w:i/>
          <w:sz w:val="16"/>
        </w:rPr>
        <w:t>9</w:t>
      </w:r>
      <w:r w:rsidRPr="00E912E0">
        <w:rPr>
          <w:i/>
          <w:sz w:val="16"/>
        </w:rPr>
        <w:t xml:space="preserve">, </w:t>
      </w:r>
      <w:r w:rsidRPr="00E912E0">
        <w:rPr>
          <w:b/>
          <w:i/>
          <w:sz w:val="16"/>
          <w:highlight w:val="green"/>
        </w:rPr>
        <w:t>Sci. Signal</w:t>
      </w:r>
      <w:r w:rsidRPr="00E912E0">
        <w:rPr>
          <w:i/>
          <w:sz w:val="16"/>
        </w:rPr>
        <w:t>., volume 2: ra79</w:t>
      </w:r>
    </w:p>
    <w:p w:rsidR="004A4E2D" w:rsidRPr="00E912E0" w:rsidRDefault="004A4E2D" w:rsidP="00E912E0">
      <w:pPr>
        <w:pStyle w:val="a3"/>
        <w:numPr>
          <w:ilvl w:val="0"/>
          <w:numId w:val="7"/>
        </w:numPr>
        <w:spacing w:line="240" w:lineRule="exact"/>
        <w:ind w:left="240" w:hangingChars="150" w:hanging="240"/>
        <w:rPr>
          <w:sz w:val="20"/>
        </w:rPr>
      </w:pPr>
      <w:r w:rsidRPr="00E912E0">
        <w:rPr>
          <w:sz w:val="16"/>
        </w:rPr>
        <w:t>AS160 Modulates Aldosterone-stimulated Epithelial Sodium Channel Forward Trafficking</w:t>
      </w:r>
      <w:r w:rsidR="00A73CC1">
        <w:rPr>
          <w:rFonts w:hint="eastAsia"/>
          <w:sz w:val="16"/>
        </w:rPr>
        <w:t>.</w:t>
      </w:r>
      <w:r w:rsidRPr="00E912E0">
        <w:rPr>
          <w:rFonts w:hint="eastAsia"/>
          <w:sz w:val="16"/>
        </w:rPr>
        <w:t xml:space="preserve"> </w:t>
      </w:r>
      <w:proofErr w:type="spellStart"/>
      <w:r w:rsidRPr="00E912E0">
        <w:rPr>
          <w:i/>
          <w:sz w:val="16"/>
        </w:rPr>
        <w:t>Xiubin</w:t>
      </w:r>
      <w:proofErr w:type="spellEnd"/>
      <w:r w:rsidRPr="00E912E0">
        <w:rPr>
          <w:i/>
          <w:sz w:val="16"/>
        </w:rPr>
        <w:t xml:space="preserve"> Liang et al, 20</w:t>
      </w:r>
      <w:r w:rsidRPr="00E912E0">
        <w:rPr>
          <w:rFonts w:hint="eastAsia"/>
          <w:i/>
          <w:sz w:val="16"/>
        </w:rPr>
        <w:t>10</w:t>
      </w:r>
      <w:r w:rsidRPr="00E912E0">
        <w:rPr>
          <w:i/>
          <w:sz w:val="16"/>
        </w:rPr>
        <w:t xml:space="preserve">, </w:t>
      </w:r>
      <w:r w:rsidRPr="00E912E0">
        <w:rPr>
          <w:b/>
          <w:i/>
          <w:sz w:val="16"/>
          <w:highlight w:val="green"/>
        </w:rPr>
        <w:t>Mol. Biol. Cell</w:t>
      </w:r>
      <w:r w:rsidRPr="00E912E0">
        <w:rPr>
          <w:i/>
          <w:sz w:val="16"/>
          <w:highlight w:val="green"/>
        </w:rPr>
        <w:t>.</w:t>
      </w:r>
      <w:r w:rsidRPr="00E912E0">
        <w:rPr>
          <w:i/>
          <w:sz w:val="16"/>
        </w:rPr>
        <w:t>, volume 21: 2024</w:t>
      </w:r>
    </w:p>
    <w:p w:rsidR="00F13C48" w:rsidRPr="00EA328C" w:rsidRDefault="00E912E0" w:rsidP="00E912E0">
      <w:pPr>
        <w:spacing w:line="360" w:lineRule="auto"/>
        <w:ind w:firstLineChars="0" w:firstLine="0"/>
        <w:rPr>
          <w:sz w:val="24"/>
        </w:rPr>
      </w:pPr>
      <w:r w:rsidRPr="00EA328C">
        <w:rPr>
          <w:noProof/>
          <w:sz w:val="40"/>
        </w:rPr>
        <w:drawing>
          <wp:anchor distT="0" distB="0" distL="114300" distR="114300" simplePos="0" relativeHeight="251668480" behindDoc="0" locked="0" layoutInCell="1" allowOverlap="1" wp14:anchorId="6872C80A" wp14:editId="16712152">
            <wp:simplePos x="0" y="0"/>
            <wp:positionH relativeFrom="column">
              <wp:posOffset>659130</wp:posOffset>
            </wp:positionH>
            <wp:positionV relativeFrom="paragraph">
              <wp:posOffset>125730</wp:posOffset>
            </wp:positionV>
            <wp:extent cx="1767840" cy="117284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C">
        <w:rPr>
          <w:noProof/>
          <w:sz w:val="40"/>
          <w:highlight w:val="yellow"/>
        </w:rPr>
        <w:drawing>
          <wp:anchor distT="0" distB="0" distL="114300" distR="114300" simplePos="0" relativeHeight="251666432" behindDoc="1" locked="0" layoutInCell="1" allowOverlap="1" wp14:anchorId="1D440AB3" wp14:editId="565B27E7">
            <wp:simplePos x="0" y="0"/>
            <wp:positionH relativeFrom="column">
              <wp:posOffset>3958590</wp:posOffset>
            </wp:positionH>
            <wp:positionV relativeFrom="paragraph">
              <wp:posOffset>137160</wp:posOffset>
            </wp:positionV>
            <wp:extent cx="1259205" cy="1130935"/>
            <wp:effectExtent l="0" t="0" r="0" b="0"/>
            <wp:wrapTight wrapText="bothSides">
              <wp:wrapPolygon edited="0">
                <wp:start x="654" y="364"/>
                <wp:lineTo x="0" y="3275"/>
                <wp:lineTo x="0" y="21103"/>
                <wp:lineTo x="20914" y="21103"/>
                <wp:lineTo x="21241" y="1819"/>
                <wp:lineTo x="18953" y="1092"/>
                <wp:lineTo x="5882" y="364"/>
                <wp:lineTo x="654" y="364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C">
        <w:rPr>
          <w:noProof/>
          <w:sz w:val="40"/>
        </w:rPr>
        <w:drawing>
          <wp:anchor distT="0" distB="0" distL="114300" distR="114300" simplePos="0" relativeHeight="251667456" behindDoc="1" locked="0" layoutInCell="1" allowOverlap="1" wp14:anchorId="156B30CA" wp14:editId="4C3B62A4">
            <wp:simplePos x="0" y="0"/>
            <wp:positionH relativeFrom="column">
              <wp:posOffset>2548255</wp:posOffset>
            </wp:positionH>
            <wp:positionV relativeFrom="paragraph">
              <wp:posOffset>139065</wp:posOffset>
            </wp:positionV>
            <wp:extent cx="1306830" cy="1153795"/>
            <wp:effectExtent l="0" t="0" r="0" b="8255"/>
            <wp:wrapTight wrapText="bothSides">
              <wp:wrapPolygon edited="0">
                <wp:start x="3778" y="0"/>
                <wp:lineTo x="0" y="713"/>
                <wp:lineTo x="0" y="21398"/>
                <wp:lineTo x="21096" y="21398"/>
                <wp:lineTo x="20781" y="3210"/>
                <wp:lineTo x="18892" y="0"/>
                <wp:lineTo x="3778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DA6" w:rsidRPr="00EA328C">
        <w:rPr>
          <w:rFonts w:hint="eastAsia"/>
          <w:sz w:val="24"/>
          <w:highlight w:val="yellow"/>
        </w:rPr>
        <w:t>相关产品：</w:t>
      </w:r>
    </w:p>
    <w:p w:rsidR="00B52E67" w:rsidRPr="00F95FCC" w:rsidRDefault="00B52E67" w:rsidP="00D805BE">
      <w:pPr>
        <w:ind w:firstLineChars="0" w:firstLine="0"/>
      </w:pPr>
    </w:p>
    <w:sectPr w:rsidR="00B52E67" w:rsidRPr="00F95F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BE7" w:rsidRDefault="003D1BE7" w:rsidP="003916A2">
      <w:pPr>
        <w:ind w:firstLine="560"/>
      </w:pPr>
      <w:r>
        <w:separator/>
      </w:r>
    </w:p>
  </w:endnote>
  <w:endnote w:type="continuationSeparator" w:id="0">
    <w:p w:rsidR="003D1BE7" w:rsidRDefault="003D1BE7" w:rsidP="003916A2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F3F" w:rsidRDefault="00CB2F3F" w:rsidP="00CB2F3F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1F" w:rsidRDefault="0070131F" w:rsidP="003916A2">
    <w:pPr>
      <w:pStyle w:val="a6"/>
      <w:ind w:firstLine="360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-183524</wp:posOffset>
              </wp:positionH>
              <wp:positionV relativeFrom="paragraph">
                <wp:posOffset>66720</wp:posOffset>
              </wp:positionV>
              <wp:extent cx="5838288" cy="0"/>
              <wp:effectExtent l="0" t="0" r="10160" b="19050"/>
              <wp:wrapNone/>
              <wp:docPr id="20" name="直接连接符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28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直接连接符 20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45pt,5.25pt" to="445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" strokecolor="black [3040]"/>
          </w:pict>
        </mc:Fallback>
      </mc:AlternateContent>
    </w:r>
  </w:p>
  <w:p w:rsidR="0070131F" w:rsidRPr="00CB2F3F" w:rsidRDefault="00CB2F3F" w:rsidP="00CB2F3F">
    <w:pPr>
      <w:pStyle w:val="a6"/>
      <w:ind w:firstLine="400"/>
      <w:rPr>
        <w:sz w:val="20"/>
      </w:rPr>
    </w:pPr>
    <w:r w:rsidRPr="00CB2F3F">
      <w:rPr>
        <w:rFonts w:hint="eastAsia"/>
        <w:sz w:val="20"/>
      </w:rPr>
      <w:t>联系人：</w:t>
    </w:r>
    <w:r w:rsidR="0070131F" w:rsidRPr="00CB2F3F">
      <w:rPr>
        <w:sz w:val="20"/>
      </w:rPr>
      <w:ptab w:relativeTo="margin" w:alignment="center" w:leader="none"/>
    </w:r>
    <w:r w:rsidRPr="00CB2F3F">
      <w:rPr>
        <w:rFonts w:hint="eastAsia"/>
        <w:sz w:val="20"/>
      </w:rPr>
      <w:t xml:space="preserve">          </w:t>
    </w:r>
    <w:r w:rsidR="0070131F" w:rsidRPr="00CB2F3F">
      <w:rPr>
        <w:rFonts w:hint="eastAsia"/>
        <w:sz w:val="20"/>
      </w:rPr>
      <w:t>订货电话：</w:t>
    </w:r>
    <w:r w:rsidR="0070131F" w:rsidRPr="00CB2F3F">
      <w:rPr>
        <w:rFonts w:hint="eastAsia"/>
        <w:sz w:val="20"/>
      </w:rPr>
      <w:t xml:space="preserve">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F3F" w:rsidRDefault="00CB2F3F" w:rsidP="00CB2F3F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BE7" w:rsidRDefault="003D1BE7" w:rsidP="003916A2">
      <w:pPr>
        <w:ind w:firstLine="560"/>
      </w:pPr>
      <w:r>
        <w:separator/>
      </w:r>
    </w:p>
  </w:footnote>
  <w:footnote w:type="continuationSeparator" w:id="0">
    <w:p w:rsidR="003D1BE7" w:rsidRDefault="003D1BE7" w:rsidP="003916A2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F3F" w:rsidRDefault="00CB2F3F" w:rsidP="00CB2F3F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1F" w:rsidRPr="00CB2F3F" w:rsidRDefault="00CB2F3F" w:rsidP="00CB2F3F">
    <w:pPr>
      <w:pStyle w:val="a5"/>
      <w:pBdr>
        <w:bottom w:val="single" w:sz="6" w:space="0" w:color="auto"/>
      </w:pBdr>
      <w:ind w:firstLineChars="257" w:firstLine="565"/>
      <w:jc w:val="left"/>
      <w:rPr>
        <w:sz w:val="22"/>
      </w:rPr>
    </w:pPr>
    <w:r w:rsidRPr="00CB2F3F">
      <w:rPr>
        <w:rFonts w:hint="eastAsia"/>
        <w:sz w:val="22"/>
      </w:rPr>
      <w:t>经销商：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F3F" w:rsidRDefault="00CB2F3F" w:rsidP="00CB2F3F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647D4"/>
    <w:multiLevelType w:val="hybridMultilevel"/>
    <w:tmpl w:val="A8CAFA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560F9D"/>
    <w:multiLevelType w:val="hybridMultilevel"/>
    <w:tmpl w:val="71FA02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E17F3A"/>
    <w:multiLevelType w:val="hybridMultilevel"/>
    <w:tmpl w:val="64CECBA8"/>
    <w:lvl w:ilvl="0" w:tplc="76726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D9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E809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CA2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4269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8AB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568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38F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1820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500033"/>
    <w:multiLevelType w:val="hybridMultilevel"/>
    <w:tmpl w:val="B4C6AB44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377C5575"/>
    <w:multiLevelType w:val="hybridMultilevel"/>
    <w:tmpl w:val="5EF2D8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1B58BC"/>
    <w:multiLevelType w:val="hybridMultilevel"/>
    <w:tmpl w:val="F0DE07D0"/>
    <w:lvl w:ilvl="0" w:tplc="0F186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2AA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80AE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089C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2F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D2C1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E892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8479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F2D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4D1200"/>
    <w:multiLevelType w:val="hybridMultilevel"/>
    <w:tmpl w:val="57E680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B415FEE"/>
    <w:multiLevelType w:val="hybridMultilevel"/>
    <w:tmpl w:val="043AA4F4"/>
    <w:lvl w:ilvl="0" w:tplc="C824B4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925B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6294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C8A9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7283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162C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54D7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F0C0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EA1C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633"/>
    <w:rsid w:val="000310B5"/>
    <w:rsid w:val="00031B13"/>
    <w:rsid w:val="00045196"/>
    <w:rsid w:val="00047A54"/>
    <w:rsid w:val="00057E08"/>
    <w:rsid w:val="000701CB"/>
    <w:rsid w:val="0008171E"/>
    <w:rsid w:val="000F602C"/>
    <w:rsid w:val="000F7DA6"/>
    <w:rsid w:val="00100D61"/>
    <w:rsid w:val="001126DA"/>
    <w:rsid w:val="00152A3C"/>
    <w:rsid w:val="00184720"/>
    <w:rsid w:val="002C2633"/>
    <w:rsid w:val="002E557F"/>
    <w:rsid w:val="00365CBA"/>
    <w:rsid w:val="003916A2"/>
    <w:rsid w:val="003A42DA"/>
    <w:rsid w:val="003A4408"/>
    <w:rsid w:val="003B3B71"/>
    <w:rsid w:val="003D1BE7"/>
    <w:rsid w:val="003D1F35"/>
    <w:rsid w:val="00430C59"/>
    <w:rsid w:val="0043131F"/>
    <w:rsid w:val="0048291D"/>
    <w:rsid w:val="004933F5"/>
    <w:rsid w:val="004A4E2D"/>
    <w:rsid w:val="004D4B17"/>
    <w:rsid w:val="005142DD"/>
    <w:rsid w:val="00537C5B"/>
    <w:rsid w:val="00567919"/>
    <w:rsid w:val="005760A0"/>
    <w:rsid w:val="005A558A"/>
    <w:rsid w:val="005B0065"/>
    <w:rsid w:val="005C790D"/>
    <w:rsid w:val="00627863"/>
    <w:rsid w:val="006A6F66"/>
    <w:rsid w:val="006F5D76"/>
    <w:rsid w:val="0070131F"/>
    <w:rsid w:val="00721B28"/>
    <w:rsid w:val="0079216E"/>
    <w:rsid w:val="007F5AE5"/>
    <w:rsid w:val="00833C51"/>
    <w:rsid w:val="0085341D"/>
    <w:rsid w:val="00873EA8"/>
    <w:rsid w:val="00893F9A"/>
    <w:rsid w:val="008C78D6"/>
    <w:rsid w:val="009B3ABE"/>
    <w:rsid w:val="00A3636C"/>
    <w:rsid w:val="00A5021B"/>
    <w:rsid w:val="00A73CC1"/>
    <w:rsid w:val="00B14CFB"/>
    <w:rsid w:val="00B337FA"/>
    <w:rsid w:val="00B52E67"/>
    <w:rsid w:val="00BC1350"/>
    <w:rsid w:val="00BE6150"/>
    <w:rsid w:val="00BE74AE"/>
    <w:rsid w:val="00BF039A"/>
    <w:rsid w:val="00BF105B"/>
    <w:rsid w:val="00C16F68"/>
    <w:rsid w:val="00C924E6"/>
    <w:rsid w:val="00CA6B69"/>
    <w:rsid w:val="00CB2F3F"/>
    <w:rsid w:val="00CD07DA"/>
    <w:rsid w:val="00CF78E8"/>
    <w:rsid w:val="00D0064A"/>
    <w:rsid w:val="00D14BF9"/>
    <w:rsid w:val="00D238AF"/>
    <w:rsid w:val="00D46AB9"/>
    <w:rsid w:val="00D805BE"/>
    <w:rsid w:val="00D91572"/>
    <w:rsid w:val="00DE635B"/>
    <w:rsid w:val="00E248BF"/>
    <w:rsid w:val="00E43406"/>
    <w:rsid w:val="00E80680"/>
    <w:rsid w:val="00E912E0"/>
    <w:rsid w:val="00EA328C"/>
    <w:rsid w:val="00ED7D10"/>
    <w:rsid w:val="00EE5686"/>
    <w:rsid w:val="00F02D5D"/>
    <w:rsid w:val="00F04BC1"/>
    <w:rsid w:val="00F13C48"/>
    <w:rsid w:val="00F76E0A"/>
    <w:rsid w:val="00F85F8D"/>
    <w:rsid w:val="00F95FCC"/>
    <w:rsid w:val="00FA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16A2"/>
    <w:pPr>
      <w:widowControl w:val="0"/>
      <w:ind w:firstLineChars="200" w:firstLine="200"/>
      <w:jc w:val="both"/>
    </w:pPr>
    <w:rPr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633"/>
    <w:pPr>
      <w:ind w:firstLine="420"/>
    </w:pPr>
  </w:style>
  <w:style w:type="paragraph" w:styleId="a4">
    <w:name w:val="Balloon Text"/>
    <w:basedOn w:val="a"/>
    <w:link w:val="Char"/>
    <w:rsid w:val="002C2633"/>
    <w:rPr>
      <w:sz w:val="18"/>
      <w:szCs w:val="18"/>
    </w:rPr>
  </w:style>
  <w:style w:type="character" w:customStyle="1" w:styleId="Char">
    <w:name w:val="批注框文本 Char"/>
    <w:basedOn w:val="a0"/>
    <w:link w:val="a4"/>
    <w:rsid w:val="002C2633"/>
    <w:rPr>
      <w:kern w:val="2"/>
      <w:sz w:val="18"/>
      <w:szCs w:val="18"/>
    </w:rPr>
  </w:style>
  <w:style w:type="paragraph" w:styleId="a5">
    <w:name w:val="header"/>
    <w:basedOn w:val="a"/>
    <w:link w:val="Char0"/>
    <w:rsid w:val="00701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131F"/>
    <w:rPr>
      <w:kern w:val="2"/>
      <w:sz w:val="18"/>
      <w:szCs w:val="18"/>
    </w:rPr>
  </w:style>
  <w:style w:type="paragraph" w:styleId="a6">
    <w:name w:val="footer"/>
    <w:basedOn w:val="a"/>
    <w:link w:val="Char1"/>
    <w:rsid w:val="007013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131F"/>
    <w:rPr>
      <w:kern w:val="2"/>
      <w:sz w:val="18"/>
      <w:szCs w:val="18"/>
    </w:rPr>
  </w:style>
  <w:style w:type="character" w:styleId="a7">
    <w:name w:val="Hyperlink"/>
    <w:basedOn w:val="a0"/>
    <w:rsid w:val="00F04BC1"/>
    <w:rPr>
      <w:color w:val="0000FF" w:themeColor="hyperlink"/>
      <w:u w:val="single"/>
    </w:rPr>
  </w:style>
  <w:style w:type="character" w:styleId="a8">
    <w:name w:val="Emphasis"/>
    <w:basedOn w:val="a0"/>
    <w:qFormat/>
    <w:rsid w:val="0008171E"/>
    <w:rPr>
      <w:i/>
      <w:iCs/>
    </w:rPr>
  </w:style>
  <w:style w:type="character" w:styleId="a9">
    <w:name w:val="Placeholder Text"/>
    <w:basedOn w:val="a0"/>
    <w:uiPriority w:val="99"/>
    <w:semiHidden/>
    <w:rsid w:val="00100D61"/>
    <w:rPr>
      <w:color w:val="808080"/>
    </w:rPr>
  </w:style>
  <w:style w:type="paragraph" w:styleId="aa">
    <w:name w:val="Title"/>
    <w:basedOn w:val="a"/>
    <w:next w:val="a"/>
    <w:link w:val="Char2"/>
    <w:qFormat/>
    <w:rsid w:val="00F95FCC"/>
    <w:pPr>
      <w:spacing w:before="120" w:after="12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Char2">
    <w:name w:val="标题 Char"/>
    <w:basedOn w:val="a0"/>
    <w:link w:val="aa"/>
    <w:rsid w:val="00F95FCC"/>
    <w:rPr>
      <w:rFonts w:asciiTheme="majorHAnsi" w:hAnsiTheme="majorHAnsi" w:cstheme="majorBidi"/>
      <w:b/>
      <w:bCs/>
      <w:kern w:val="2"/>
      <w:sz w:val="44"/>
      <w:szCs w:val="32"/>
    </w:rPr>
  </w:style>
  <w:style w:type="paragraph" w:styleId="ab">
    <w:name w:val="Subtitle"/>
    <w:basedOn w:val="a"/>
    <w:next w:val="a"/>
    <w:link w:val="Char3"/>
    <w:qFormat/>
    <w:rsid w:val="00F95FCC"/>
    <w:pPr>
      <w:spacing w:before="240" w:after="60" w:line="312" w:lineRule="auto"/>
      <w:jc w:val="left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b"/>
    <w:rsid w:val="00F95FCC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rsid w:val="00F02D5D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kern w:val="0"/>
      <w:sz w:val="24"/>
    </w:rPr>
  </w:style>
  <w:style w:type="table" w:styleId="ad">
    <w:name w:val="Table Grid"/>
    <w:basedOn w:val="a1"/>
    <w:rsid w:val="00F02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List 3"/>
    <w:basedOn w:val="a1"/>
    <w:rsid w:val="00B52E67"/>
    <w:pPr>
      <w:widowControl w:val="0"/>
      <w:ind w:firstLineChars="200" w:firstLine="20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16A2"/>
    <w:pPr>
      <w:widowControl w:val="0"/>
      <w:ind w:firstLineChars="200" w:firstLine="200"/>
      <w:jc w:val="both"/>
    </w:pPr>
    <w:rPr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633"/>
    <w:pPr>
      <w:ind w:firstLine="420"/>
    </w:pPr>
  </w:style>
  <w:style w:type="paragraph" w:styleId="a4">
    <w:name w:val="Balloon Text"/>
    <w:basedOn w:val="a"/>
    <w:link w:val="Char"/>
    <w:rsid w:val="002C2633"/>
    <w:rPr>
      <w:sz w:val="18"/>
      <w:szCs w:val="18"/>
    </w:rPr>
  </w:style>
  <w:style w:type="character" w:customStyle="1" w:styleId="Char">
    <w:name w:val="批注框文本 Char"/>
    <w:basedOn w:val="a0"/>
    <w:link w:val="a4"/>
    <w:rsid w:val="002C2633"/>
    <w:rPr>
      <w:kern w:val="2"/>
      <w:sz w:val="18"/>
      <w:szCs w:val="18"/>
    </w:rPr>
  </w:style>
  <w:style w:type="paragraph" w:styleId="a5">
    <w:name w:val="header"/>
    <w:basedOn w:val="a"/>
    <w:link w:val="Char0"/>
    <w:rsid w:val="007013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131F"/>
    <w:rPr>
      <w:kern w:val="2"/>
      <w:sz w:val="18"/>
      <w:szCs w:val="18"/>
    </w:rPr>
  </w:style>
  <w:style w:type="paragraph" w:styleId="a6">
    <w:name w:val="footer"/>
    <w:basedOn w:val="a"/>
    <w:link w:val="Char1"/>
    <w:rsid w:val="007013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131F"/>
    <w:rPr>
      <w:kern w:val="2"/>
      <w:sz w:val="18"/>
      <w:szCs w:val="18"/>
    </w:rPr>
  </w:style>
  <w:style w:type="character" w:styleId="a7">
    <w:name w:val="Hyperlink"/>
    <w:basedOn w:val="a0"/>
    <w:rsid w:val="00F04BC1"/>
    <w:rPr>
      <w:color w:val="0000FF" w:themeColor="hyperlink"/>
      <w:u w:val="single"/>
    </w:rPr>
  </w:style>
  <w:style w:type="character" w:styleId="a8">
    <w:name w:val="Emphasis"/>
    <w:basedOn w:val="a0"/>
    <w:qFormat/>
    <w:rsid w:val="0008171E"/>
    <w:rPr>
      <w:i/>
      <w:iCs/>
    </w:rPr>
  </w:style>
  <w:style w:type="character" w:styleId="a9">
    <w:name w:val="Placeholder Text"/>
    <w:basedOn w:val="a0"/>
    <w:uiPriority w:val="99"/>
    <w:semiHidden/>
    <w:rsid w:val="00100D61"/>
    <w:rPr>
      <w:color w:val="808080"/>
    </w:rPr>
  </w:style>
  <w:style w:type="paragraph" w:styleId="aa">
    <w:name w:val="Title"/>
    <w:basedOn w:val="a"/>
    <w:next w:val="a"/>
    <w:link w:val="Char2"/>
    <w:qFormat/>
    <w:rsid w:val="00F95FCC"/>
    <w:pPr>
      <w:spacing w:before="120" w:after="12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Char2">
    <w:name w:val="标题 Char"/>
    <w:basedOn w:val="a0"/>
    <w:link w:val="aa"/>
    <w:rsid w:val="00F95FCC"/>
    <w:rPr>
      <w:rFonts w:asciiTheme="majorHAnsi" w:hAnsiTheme="majorHAnsi" w:cstheme="majorBidi"/>
      <w:b/>
      <w:bCs/>
      <w:kern w:val="2"/>
      <w:sz w:val="44"/>
      <w:szCs w:val="32"/>
    </w:rPr>
  </w:style>
  <w:style w:type="paragraph" w:styleId="ab">
    <w:name w:val="Subtitle"/>
    <w:basedOn w:val="a"/>
    <w:next w:val="a"/>
    <w:link w:val="Char3"/>
    <w:qFormat/>
    <w:rsid w:val="00F95FCC"/>
    <w:pPr>
      <w:spacing w:before="240" w:after="60" w:line="312" w:lineRule="auto"/>
      <w:jc w:val="left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b"/>
    <w:rsid w:val="00F95FCC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rsid w:val="00F02D5D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kern w:val="0"/>
      <w:sz w:val="24"/>
    </w:rPr>
  </w:style>
  <w:style w:type="table" w:styleId="ad">
    <w:name w:val="Table Grid"/>
    <w:basedOn w:val="a1"/>
    <w:rsid w:val="00F02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List 3"/>
    <w:basedOn w:val="a1"/>
    <w:rsid w:val="00B52E67"/>
    <w:pPr>
      <w:widowControl w:val="0"/>
      <w:ind w:firstLineChars="200" w:firstLine="20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537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0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80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31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58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528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098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380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00360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908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7588">
          <w:marLeft w:val="113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4</Pages>
  <Words>253</Words>
  <Characters>1446</Characters>
  <Application>Microsoft Office Word</Application>
  <DocSecurity>0</DocSecurity>
  <Lines>12</Lines>
  <Paragraphs>3</Paragraphs>
  <ScaleCrop>false</ScaleCrop>
  <Company>Promega Corp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fengbo sun</dc:creator>
  <cp:lastModifiedBy>fengbo sun</cp:lastModifiedBy>
  <cp:revision>20</cp:revision>
  <cp:lastPrinted>2012-05-09T02:06:00Z</cp:lastPrinted>
  <dcterms:created xsi:type="dcterms:W3CDTF">2012-04-08T08:50:00Z</dcterms:created>
  <dcterms:modified xsi:type="dcterms:W3CDTF">2012-05-09T02:11:00Z</dcterms:modified>
</cp:coreProperties>
</file>